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E6F1C" w14:textId="4454D016" w:rsidR="002808D9" w:rsidRDefault="002808D9">
      <w:pPr>
        <w:spacing w:after="0"/>
        <w:ind w:left="10" w:right="-15" w:hanging="10"/>
        <w:jc w:val="right"/>
      </w:pPr>
    </w:p>
    <w:tbl>
      <w:tblPr>
        <w:tblStyle w:val="TableGrid"/>
        <w:tblW w:w="11304" w:type="dxa"/>
        <w:tblInd w:w="-35" w:type="dxa"/>
        <w:tblCellMar>
          <w:top w:w="2" w:type="dxa"/>
          <w:left w:w="35" w:type="dxa"/>
          <w:right w:w="38" w:type="dxa"/>
        </w:tblCellMar>
        <w:tblLook w:val="04A0" w:firstRow="1" w:lastRow="0" w:firstColumn="1" w:lastColumn="0" w:noHBand="0" w:noVBand="1"/>
      </w:tblPr>
      <w:tblGrid>
        <w:gridCol w:w="5271"/>
        <w:gridCol w:w="6033"/>
      </w:tblGrid>
      <w:tr w:rsidR="002808D9" w14:paraId="5EB13DE3" w14:textId="77777777" w:rsidTr="00D45420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ED94743" w14:textId="77777777" w:rsidR="002808D9" w:rsidRDefault="00D34881">
            <w:r>
              <w:rPr>
                <w:rFonts w:ascii="Arial" w:eastAsia="Arial" w:hAnsi="Arial" w:cs="Arial"/>
                <w:b/>
                <w:sz w:val="18"/>
              </w:rPr>
              <w:t>Název služby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08F90C2" w14:textId="77777777" w:rsidR="002808D9" w:rsidRDefault="00D34881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SLA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LOGmanager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2808D9" w14:paraId="141CCE94" w14:textId="77777777" w:rsidTr="00D45420">
        <w:trPr>
          <w:trHeight w:val="1136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01E62" w14:textId="77777777" w:rsidR="002808D9" w:rsidRDefault="00D34881" w:rsidP="00D45420">
            <w:r w:rsidRPr="00D45420">
              <w:rPr>
                <w:rFonts w:ascii="Arial" w:eastAsia="Arial" w:hAnsi="Arial" w:cs="Arial"/>
                <w:b/>
                <w:sz w:val="18"/>
              </w:rPr>
              <w:t>Popis služby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A652D" w14:textId="77777777" w:rsidR="002808D9" w:rsidRDefault="00D34881">
            <w:pPr>
              <w:spacing w:line="261" w:lineRule="auto"/>
            </w:pPr>
            <w:r>
              <w:rPr>
                <w:rFonts w:ascii="Arial" w:eastAsia="Arial" w:hAnsi="Arial" w:cs="Arial"/>
                <w:sz w:val="18"/>
              </w:rPr>
              <w:t xml:space="preserve">Specializovaná správa, údržba a servisní podpora centrálního úložiště logů pro plně automatizovaný sběr provozních událostí z kritických provozních systémů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LOGmanager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  <w:p w14:paraId="6EC84570" w14:textId="77777777" w:rsidR="002808D9" w:rsidRDefault="00D34881">
            <w:r>
              <w:rPr>
                <w:rFonts w:ascii="Arial" w:eastAsia="Arial" w:hAnsi="Arial" w:cs="Arial"/>
                <w:sz w:val="18"/>
              </w:rPr>
              <w:t xml:space="preserve">Oblasti: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Help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desk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změny konfigurací, servisních zásahy, konzultace k auditní a bezpečnostní problematice.</w:t>
            </w:r>
          </w:p>
        </w:tc>
      </w:tr>
      <w:tr w:rsidR="00D45420" w14:paraId="19E04E70" w14:textId="77777777" w:rsidTr="00FB26C2">
        <w:trPr>
          <w:trHeight w:val="228"/>
        </w:trPr>
        <w:tc>
          <w:tcPr>
            <w:tcW w:w="113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6EC7F66" w14:textId="1A1EAF24" w:rsidR="00D45420" w:rsidRDefault="00D45420">
            <w:r>
              <w:rPr>
                <w:rFonts w:ascii="Arial" w:eastAsia="Arial" w:hAnsi="Arial" w:cs="Arial"/>
                <w:b/>
                <w:sz w:val="18"/>
              </w:rPr>
              <w:t>Vymezení služby</w:t>
            </w:r>
          </w:p>
        </w:tc>
      </w:tr>
      <w:tr w:rsidR="002808D9" w14:paraId="5DE43830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DE51F" w14:textId="77777777" w:rsidR="002808D9" w:rsidRDefault="00D34881">
            <w:r>
              <w:rPr>
                <w:rFonts w:ascii="Arial" w:eastAsia="Arial" w:hAnsi="Arial" w:cs="Arial"/>
                <w:sz w:val="18"/>
              </w:rPr>
              <w:t>Vstupní konfigurace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BA635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D45420" w14:paraId="634750FF" w14:textId="77777777" w:rsidTr="008C1EC2">
        <w:trPr>
          <w:trHeight w:val="228"/>
        </w:trPr>
        <w:tc>
          <w:tcPr>
            <w:tcW w:w="113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66115" w14:textId="2DF2777B" w:rsidR="00D45420" w:rsidRDefault="00D45420">
            <w:r>
              <w:rPr>
                <w:rFonts w:ascii="Arial" w:eastAsia="Arial" w:hAnsi="Arial" w:cs="Arial"/>
                <w:b/>
                <w:sz w:val="18"/>
              </w:rPr>
              <w:t>Systém</w:t>
            </w:r>
          </w:p>
        </w:tc>
      </w:tr>
      <w:tr w:rsidR="002808D9" w14:paraId="6C650180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B35D5" w14:textId="77777777" w:rsidR="002808D9" w:rsidRDefault="00D34881">
            <w:r>
              <w:rPr>
                <w:rFonts w:ascii="Arial" w:eastAsia="Arial" w:hAnsi="Arial" w:cs="Arial"/>
                <w:sz w:val="18"/>
              </w:rPr>
              <w:t>Aktualizace software po uvedení od výrobce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CF522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2808D9" w14:paraId="0579FA3C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777C5" w14:textId="77777777" w:rsidR="002808D9" w:rsidRDefault="00D34881">
            <w:r>
              <w:rPr>
                <w:rFonts w:ascii="Arial" w:eastAsia="Arial" w:hAnsi="Arial" w:cs="Arial"/>
                <w:sz w:val="18"/>
              </w:rPr>
              <w:t xml:space="preserve">Aktualizace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parserů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po uvedení od výrobce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AAC8A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D45420" w14:paraId="0A241D1B" w14:textId="77777777" w:rsidTr="00B857F3">
        <w:trPr>
          <w:trHeight w:val="228"/>
        </w:trPr>
        <w:tc>
          <w:tcPr>
            <w:tcW w:w="113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5BA98" w14:textId="41C4B408" w:rsidR="00D45420" w:rsidRDefault="00D45420">
            <w:r>
              <w:rPr>
                <w:rFonts w:ascii="Arial" w:eastAsia="Arial" w:hAnsi="Arial" w:cs="Arial"/>
                <w:b/>
                <w:sz w:val="18"/>
              </w:rPr>
              <w:t>Správa</w:t>
            </w:r>
          </w:p>
        </w:tc>
      </w:tr>
      <w:tr w:rsidR="002808D9" w14:paraId="53CB277B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D5E04" w14:textId="77777777" w:rsidR="002808D9" w:rsidRDefault="00D34881">
            <w:r>
              <w:rPr>
                <w:rFonts w:ascii="Arial" w:eastAsia="Arial" w:hAnsi="Arial" w:cs="Arial"/>
                <w:sz w:val="18"/>
              </w:rPr>
              <w:t xml:space="preserve">Správa systému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LOGmanager</w:t>
            </w:r>
            <w:proofErr w:type="spellEnd"/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C84B0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2808D9" w14:paraId="2EE34775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687D4" w14:textId="77777777" w:rsidR="002808D9" w:rsidRDefault="00D34881">
            <w:r>
              <w:rPr>
                <w:rFonts w:ascii="Arial" w:eastAsia="Arial" w:hAnsi="Arial" w:cs="Arial"/>
                <w:sz w:val="18"/>
              </w:rPr>
              <w:t>Konfigurace pohledů na logy z napojených systémů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5AA4D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2808D9" w14:paraId="697023B4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9142A" w14:textId="77777777" w:rsidR="002808D9" w:rsidRDefault="00D34881">
            <w:r>
              <w:rPr>
                <w:rFonts w:ascii="Arial" w:eastAsia="Arial" w:hAnsi="Arial" w:cs="Arial"/>
                <w:sz w:val="18"/>
              </w:rPr>
              <w:t>Konfigurace přístupových práv uživatelů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78619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2808D9" w14:paraId="132FBEEA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69A31" w14:textId="77777777" w:rsidR="002808D9" w:rsidRDefault="00D34881">
            <w:r>
              <w:rPr>
                <w:rFonts w:ascii="Arial" w:eastAsia="Arial" w:hAnsi="Arial" w:cs="Arial"/>
                <w:sz w:val="18"/>
              </w:rPr>
              <w:t>Kontrola funkčnosti systému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60F90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2808D9" w14:paraId="21ECECB3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BC1F2" w14:textId="77777777" w:rsidR="002808D9" w:rsidRDefault="00D34881">
            <w:r>
              <w:rPr>
                <w:rFonts w:ascii="Arial" w:eastAsia="Arial" w:hAnsi="Arial" w:cs="Arial"/>
                <w:sz w:val="18"/>
              </w:rPr>
              <w:t>Konfigurace Windows Beat Agenta (BEAT)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C1777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2808D9" w14:paraId="47A7AE78" w14:textId="77777777" w:rsidTr="00903C23">
        <w:trPr>
          <w:trHeight w:val="229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158E9" w14:textId="77777777" w:rsidR="002808D9" w:rsidRDefault="00D34881">
            <w:r>
              <w:rPr>
                <w:rFonts w:ascii="Arial" w:eastAsia="Arial" w:hAnsi="Arial" w:cs="Arial"/>
                <w:sz w:val="18"/>
              </w:rPr>
              <w:t xml:space="preserve">Doporučení AD Group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Policy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C99DD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2808D9" w14:paraId="2FBB6775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CFCC0" w14:textId="77777777" w:rsidR="002808D9" w:rsidRDefault="00D34881">
            <w:r>
              <w:rPr>
                <w:rFonts w:ascii="Arial" w:eastAsia="Arial" w:hAnsi="Arial" w:cs="Arial"/>
                <w:sz w:val="18"/>
              </w:rPr>
              <w:t xml:space="preserve">Definice filtrů událostí 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90C58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D45420" w14:paraId="128BD51B" w14:textId="77777777" w:rsidTr="003371D4">
        <w:trPr>
          <w:trHeight w:val="228"/>
        </w:trPr>
        <w:tc>
          <w:tcPr>
            <w:tcW w:w="113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F68FF" w14:textId="118F9A13" w:rsidR="00D45420" w:rsidRDefault="00D45420">
            <w:r>
              <w:rPr>
                <w:rFonts w:ascii="Arial" w:eastAsia="Arial" w:hAnsi="Arial" w:cs="Arial"/>
                <w:b/>
                <w:sz w:val="18"/>
              </w:rPr>
              <w:t>Automatické reporty</w:t>
            </w:r>
          </w:p>
        </w:tc>
      </w:tr>
      <w:tr w:rsidR="002808D9" w14:paraId="042BACDD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B37D1" w14:textId="77777777" w:rsidR="002808D9" w:rsidRDefault="00D34881">
            <w:r>
              <w:rPr>
                <w:rFonts w:ascii="Arial" w:eastAsia="Arial" w:hAnsi="Arial" w:cs="Arial"/>
                <w:sz w:val="18"/>
              </w:rPr>
              <w:t>Konfigurace a generování automatických reportů dle požadavků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8F996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D45420" w14:paraId="281A8536" w14:textId="77777777" w:rsidTr="00BA425C">
        <w:trPr>
          <w:trHeight w:val="228"/>
        </w:trPr>
        <w:tc>
          <w:tcPr>
            <w:tcW w:w="113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F332A" w14:textId="7E5AA0D0" w:rsidR="00D45420" w:rsidRDefault="00D45420"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Alerting</w:t>
            </w:r>
            <w:proofErr w:type="spellEnd"/>
          </w:p>
        </w:tc>
      </w:tr>
      <w:tr w:rsidR="002808D9" w14:paraId="4A0A86DA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52FE0" w14:textId="77777777" w:rsidR="002808D9" w:rsidRDefault="00D34881">
            <w:r>
              <w:rPr>
                <w:rFonts w:ascii="Arial" w:eastAsia="Arial" w:hAnsi="Arial" w:cs="Arial"/>
                <w:sz w:val="18"/>
              </w:rPr>
              <w:t xml:space="preserve">Konfigurace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alertů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z napojených systémů dle požadavků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A743F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2808D9" w14:paraId="102D9687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43D9A" w14:textId="77777777" w:rsidR="002808D9" w:rsidRDefault="00D34881">
            <w:r>
              <w:rPr>
                <w:rFonts w:ascii="Arial" w:eastAsia="Arial" w:hAnsi="Arial" w:cs="Arial"/>
                <w:sz w:val="18"/>
              </w:rPr>
              <w:t xml:space="preserve">Proaktivní podpora na základě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alertů</w:t>
            </w:r>
            <w:proofErr w:type="spellEnd"/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BFFB5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D45420" w14:paraId="6F8AAA24" w14:textId="77777777" w:rsidTr="00301F8F">
        <w:trPr>
          <w:trHeight w:val="228"/>
        </w:trPr>
        <w:tc>
          <w:tcPr>
            <w:tcW w:w="113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13714" w14:textId="69D55A5A" w:rsidR="00D45420" w:rsidRDefault="00D45420">
            <w:r>
              <w:rPr>
                <w:rFonts w:ascii="Arial" w:eastAsia="Arial" w:hAnsi="Arial" w:cs="Arial"/>
                <w:b/>
                <w:sz w:val="18"/>
              </w:rPr>
              <w:t>Analýza</w:t>
            </w:r>
          </w:p>
        </w:tc>
      </w:tr>
      <w:tr w:rsidR="002808D9" w14:paraId="58EFC652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E29E7" w14:textId="77777777" w:rsidR="002808D9" w:rsidRDefault="00D34881">
            <w:r>
              <w:rPr>
                <w:rFonts w:ascii="Arial" w:eastAsia="Arial" w:hAnsi="Arial" w:cs="Arial"/>
                <w:sz w:val="18"/>
              </w:rPr>
              <w:t>Analytické práce s daty, reporty a korelace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A6273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2808D9" w14:paraId="3F28DAE8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80B0A" w14:textId="77777777" w:rsidR="002808D9" w:rsidRDefault="00D34881">
            <w:r>
              <w:rPr>
                <w:rFonts w:ascii="Arial" w:eastAsia="Arial" w:hAnsi="Arial" w:cs="Arial"/>
                <w:sz w:val="18"/>
              </w:rPr>
              <w:t>Předávání dat do nadřazených systémů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C2A8B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2808D9" w14:paraId="6572CC8F" w14:textId="77777777" w:rsidTr="00903C23">
        <w:trPr>
          <w:trHeight w:val="454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2D55E" w14:textId="77777777" w:rsidR="002808D9" w:rsidRDefault="00D34881">
            <w:r>
              <w:rPr>
                <w:rFonts w:ascii="Arial" w:eastAsia="Arial" w:hAnsi="Arial" w:cs="Arial"/>
                <w:sz w:val="18"/>
              </w:rPr>
              <w:t>Doporučení na rekonfigurace systémů na základě analyzovaných logů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3A03DE1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2808D9" w14:paraId="30FC1B0C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E727A" w14:textId="77777777" w:rsidR="002808D9" w:rsidRDefault="00D34881">
            <w:r>
              <w:rPr>
                <w:rFonts w:ascii="Arial" w:eastAsia="Arial" w:hAnsi="Arial" w:cs="Arial"/>
                <w:sz w:val="18"/>
              </w:rPr>
              <w:t>Podpora dodržování Zákona o kybernetické bezpečnosti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A74B5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Ne</w:t>
            </w:r>
          </w:p>
        </w:tc>
      </w:tr>
      <w:tr w:rsidR="00D45420" w14:paraId="406614E0" w14:textId="77777777" w:rsidTr="009F209E">
        <w:trPr>
          <w:trHeight w:val="228"/>
        </w:trPr>
        <w:tc>
          <w:tcPr>
            <w:tcW w:w="113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B9EC0" w14:textId="04C16E45" w:rsidR="00D45420" w:rsidRDefault="00D45420">
            <w:r>
              <w:rPr>
                <w:rFonts w:ascii="Arial" w:eastAsia="Arial" w:hAnsi="Arial" w:cs="Arial"/>
                <w:b/>
                <w:sz w:val="18"/>
              </w:rPr>
              <w:t>HW support</w:t>
            </w:r>
          </w:p>
        </w:tc>
      </w:tr>
      <w:tr w:rsidR="002808D9" w14:paraId="0B14A2CF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BA939" w14:textId="77777777" w:rsidR="002808D9" w:rsidRDefault="00D34881">
            <w:r>
              <w:rPr>
                <w:rFonts w:ascii="Arial" w:eastAsia="Arial" w:hAnsi="Arial" w:cs="Arial"/>
                <w:sz w:val="18"/>
              </w:rPr>
              <w:t>Obnova systému po havárii (ticket u výrobce)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7AD00" w14:textId="77777777" w:rsidR="002808D9" w:rsidRDefault="00D34881">
            <w:pPr>
              <w:ind w:left="85"/>
              <w:jc w:val="center"/>
            </w:pPr>
            <w:r>
              <w:rPr>
                <w:rFonts w:ascii="Arial" w:eastAsia="Arial" w:hAnsi="Arial" w:cs="Arial"/>
                <w:sz w:val="18"/>
              </w:rPr>
              <w:t>NBD po dodávce HW od výrobce</w:t>
            </w:r>
          </w:p>
        </w:tc>
      </w:tr>
      <w:tr w:rsidR="002808D9" w14:paraId="72B6A668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68F74" w14:textId="77777777" w:rsidR="002808D9" w:rsidRDefault="00D34881">
            <w:r>
              <w:rPr>
                <w:rFonts w:ascii="Arial" w:eastAsia="Arial" w:hAnsi="Arial" w:cs="Arial"/>
                <w:sz w:val="18"/>
              </w:rPr>
              <w:t>Dodávka náhradního HW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A2E15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Ne</w:t>
            </w:r>
          </w:p>
        </w:tc>
      </w:tr>
      <w:tr w:rsidR="002808D9" w14:paraId="6C846E0E" w14:textId="77777777" w:rsidTr="00D45420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AC842" w14:textId="77777777" w:rsidR="002808D9" w:rsidRDefault="00D34881">
            <w:r>
              <w:rPr>
                <w:rFonts w:ascii="Arial" w:eastAsia="Arial" w:hAnsi="Arial" w:cs="Arial"/>
                <w:b/>
                <w:sz w:val="18"/>
              </w:rPr>
              <w:t>Profylaxe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17C24" w14:textId="77777777" w:rsidR="002808D9" w:rsidRDefault="00D34881">
            <w:pPr>
              <w:ind w:left="86"/>
              <w:jc w:val="center"/>
            </w:pPr>
            <w:r>
              <w:rPr>
                <w:rFonts w:ascii="Arial" w:eastAsia="Arial" w:hAnsi="Arial" w:cs="Arial"/>
                <w:sz w:val="18"/>
              </w:rPr>
              <w:t>4x za rok</w:t>
            </w:r>
          </w:p>
        </w:tc>
      </w:tr>
      <w:tr w:rsidR="002808D9" w14:paraId="1DCD1929" w14:textId="77777777" w:rsidTr="00903C23"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F0E64" w14:textId="77777777" w:rsidR="002808D9" w:rsidRDefault="00D34881">
            <w:r>
              <w:rPr>
                <w:rFonts w:ascii="Arial" w:eastAsia="Arial" w:hAnsi="Arial" w:cs="Arial"/>
                <w:sz w:val="18"/>
              </w:rPr>
              <w:t>Údržba seznamu napojených zařízení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7DD2F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D45420" w14:paraId="40455203" w14:textId="77777777" w:rsidTr="00D45420">
        <w:trPr>
          <w:trHeight w:val="228"/>
        </w:trPr>
        <w:tc>
          <w:tcPr>
            <w:tcW w:w="113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769B5629" w14:textId="65062560" w:rsidR="00D45420" w:rsidRDefault="00D45420" w:rsidP="0044062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Časový rozsah služby / SLA</w:t>
            </w:r>
          </w:p>
        </w:tc>
      </w:tr>
      <w:tr w:rsidR="002808D9" w14:paraId="7886E786" w14:textId="77777777" w:rsidTr="00903C23">
        <w:tblPrEx>
          <w:tblCellMar>
            <w:top w:w="9" w:type="dxa"/>
            <w:left w:w="33" w:type="dxa"/>
            <w:right w:w="21" w:type="dxa"/>
          </w:tblCellMar>
        </w:tblPrEx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8C7E3" w14:textId="77777777" w:rsidR="002808D9" w:rsidRDefault="00D34881">
            <w:r>
              <w:rPr>
                <w:rFonts w:ascii="Arial" w:eastAsia="Arial" w:hAnsi="Arial" w:cs="Arial"/>
                <w:sz w:val="18"/>
              </w:rPr>
              <w:t>Rozsah služby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92900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8x5</w:t>
            </w:r>
          </w:p>
        </w:tc>
      </w:tr>
      <w:tr w:rsidR="002808D9" w14:paraId="3089BF8E" w14:textId="77777777" w:rsidTr="00903C23">
        <w:tblPrEx>
          <w:tblCellMar>
            <w:top w:w="9" w:type="dxa"/>
            <w:left w:w="33" w:type="dxa"/>
            <w:right w:w="21" w:type="dxa"/>
          </w:tblCellMar>
        </w:tblPrEx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CE9B3" w14:textId="77777777" w:rsidR="002808D9" w:rsidRDefault="00D34881">
            <w:r>
              <w:rPr>
                <w:rFonts w:ascii="Arial" w:eastAsia="Arial" w:hAnsi="Arial" w:cs="Arial"/>
                <w:sz w:val="18"/>
              </w:rPr>
              <w:t xml:space="preserve">Automatické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info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emaily 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alerty</w:t>
            </w:r>
            <w:proofErr w:type="spellEnd"/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E7920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24x7</w:t>
            </w:r>
          </w:p>
        </w:tc>
      </w:tr>
      <w:tr w:rsidR="002808D9" w14:paraId="6ABB2013" w14:textId="77777777" w:rsidTr="00903C23">
        <w:tblPrEx>
          <w:tblCellMar>
            <w:top w:w="9" w:type="dxa"/>
            <w:left w:w="33" w:type="dxa"/>
            <w:right w:w="21" w:type="dxa"/>
          </w:tblCellMar>
        </w:tblPrEx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6790A" w14:textId="77777777" w:rsidR="002808D9" w:rsidRDefault="00D34881">
            <w:r>
              <w:rPr>
                <w:rFonts w:ascii="Arial" w:eastAsia="Arial" w:hAnsi="Arial" w:cs="Arial"/>
                <w:sz w:val="18"/>
              </w:rPr>
              <w:t>Reakce na provozní incident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E2EED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8 hod</w:t>
            </w:r>
          </w:p>
        </w:tc>
      </w:tr>
      <w:tr w:rsidR="002808D9" w14:paraId="5882E022" w14:textId="77777777" w:rsidTr="00903C23">
        <w:tblPrEx>
          <w:tblCellMar>
            <w:top w:w="9" w:type="dxa"/>
            <w:left w:w="33" w:type="dxa"/>
            <w:right w:w="21" w:type="dxa"/>
          </w:tblCellMar>
        </w:tblPrEx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A5AE9" w14:textId="77777777" w:rsidR="002808D9" w:rsidRDefault="00D34881">
            <w:r>
              <w:rPr>
                <w:rFonts w:ascii="Arial" w:eastAsia="Arial" w:hAnsi="Arial" w:cs="Arial"/>
                <w:sz w:val="18"/>
              </w:rPr>
              <w:t xml:space="preserve">Reakce na změnové požadavky 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E669A" w14:textId="77777777" w:rsidR="002808D9" w:rsidRDefault="00D34881">
            <w:pPr>
              <w:ind w:left="95"/>
              <w:jc w:val="center"/>
            </w:pPr>
            <w:r>
              <w:rPr>
                <w:rFonts w:ascii="Arial" w:eastAsia="Arial" w:hAnsi="Arial" w:cs="Arial"/>
                <w:sz w:val="18"/>
              </w:rPr>
              <w:t>NBD</w:t>
            </w:r>
          </w:p>
        </w:tc>
      </w:tr>
      <w:tr w:rsidR="002808D9" w14:paraId="171C93B5" w14:textId="77777777" w:rsidTr="00903C23">
        <w:tblPrEx>
          <w:tblCellMar>
            <w:top w:w="9" w:type="dxa"/>
            <w:left w:w="33" w:type="dxa"/>
            <w:right w:w="21" w:type="dxa"/>
          </w:tblCellMar>
        </w:tblPrEx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6F6A" w14:textId="77777777" w:rsidR="002808D9" w:rsidRDefault="00D34881">
            <w:r>
              <w:rPr>
                <w:rFonts w:ascii="Arial" w:eastAsia="Arial" w:hAnsi="Arial" w:cs="Arial"/>
                <w:sz w:val="18"/>
              </w:rPr>
              <w:t>Zakládání tiketů u výrobce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80109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2808D9" w14:paraId="4FB4F5E1" w14:textId="77777777" w:rsidTr="00903C23">
        <w:tblPrEx>
          <w:tblCellMar>
            <w:top w:w="9" w:type="dxa"/>
            <w:left w:w="33" w:type="dxa"/>
            <w:right w:w="21" w:type="dxa"/>
          </w:tblCellMar>
        </w:tblPrEx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B4DA3" w14:textId="77777777" w:rsidR="002808D9" w:rsidRDefault="00D34881">
            <w:r>
              <w:rPr>
                <w:rFonts w:ascii="Arial" w:eastAsia="Arial" w:hAnsi="Arial" w:cs="Arial"/>
                <w:sz w:val="18"/>
              </w:rPr>
              <w:t>Analýza incidentů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E399C" w14:textId="77777777" w:rsidR="002808D9" w:rsidRDefault="00D34881">
            <w:pPr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Ano</w:t>
            </w:r>
          </w:p>
        </w:tc>
      </w:tr>
      <w:tr w:rsidR="002808D9" w14:paraId="6523E28B" w14:textId="77777777" w:rsidTr="00CB4694">
        <w:tblPrEx>
          <w:tblCellMar>
            <w:top w:w="9" w:type="dxa"/>
            <w:left w:w="33" w:type="dxa"/>
            <w:right w:w="21" w:type="dxa"/>
          </w:tblCellMar>
        </w:tblPrEx>
        <w:trPr>
          <w:trHeight w:val="454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99B44" w14:textId="77777777" w:rsidR="002808D9" w:rsidRDefault="00D34881">
            <w:r>
              <w:rPr>
                <w:rFonts w:ascii="Arial" w:eastAsia="Arial" w:hAnsi="Arial" w:cs="Arial"/>
                <w:b/>
                <w:sz w:val="18"/>
              </w:rPr>
              <w:t>Omezení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ED67A6F" w14:textId="77777777" w:rsidR="002808D9" w:rsidRDefault="00D34881">
            <w:r>
              <w:rPr>
                <w:rFonts w:ascii="Arial" w:eastAsia="Arial" w:hAnsi="Arial" w:cs="Arial"/>
                <w:sz w:val="18"/>
              </w:rPr>
              <w:t xml:space="preserve">Řeší pouze události evidované na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LOGmangeru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neřeší hloubkovou analýzu příčiny událostí.</w:t>
            </w:r>
          </w:p>
        </w:tc>
      </w:tr>
      <w:tr w:rsidR="002808D9" w14:paraId="2EA44993" w14:textId="77777777" w:rsidTr="00903C23">
        <w:tblPrEx>
          <w:tblCellMar>
            <w:top w:w="9" w:type="dxa"/>
            <w:left w:w="33" w:type="dxa"/>
            <w:right w:w="21" w:type="dxa"/>
          </w:tblCellMar>
        </w:tblPrEx>
        <w:trPr>
          <w:trHeight w:val="229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6CFC1" w14:textId="6740BEB4" w:rsidR="002808D9" w:rsidRDefault="00D34881">
            <w:r>
              <w:rPr>
                <w:rFonts w:ascii="Arial" w:eastAsia="Arial" w:hAnsi="Arial" w:cs="Arial"/>
                <w:sz w:val="18"/>
              </w:rPr>
              <w:t>RAS max hod / měsíc za celé SLA dohromady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CF01B" w14:textId="77777777" w:rsidR="002808D9" w:rsidRDefault="00D34881">
            <w:pPr>
              <w:ind w:left="5"/>
              <w:jc w:val="center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</w:tr>
      <w:tr w:rsidR="002808D9" w14:paraId="021BC072" w14:textId="77777777">
        <w:tblPrEx>
          <w:tblCellMar>
            <w:top w:w="9" w:type="dxa"/>
            <w:left w:w="33" w:type="dxa"/>
            <w:right w:w="21" w:type="dxa"/>
          </w:tblCellMar>
        </w:tblPrEx>
        <w:trPr>
          <w:trHeight w:val="228"/>
        </w:trPr>
        <w:tc>
          <w:tcPr>
            <w:tcW w:w="113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7595A" w14:textId="1D571EF9" w:rsidR="002808D9" w:rsidRDefault="00D34881" w:rsidP="00903C23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Hodiny </w:t>
            </w:r>
            <w:r w:rsidR="00903C23">
              <w:rPr>
                <w:rFonts w:ascii="Arial" w:eastAsia="Arial" w:hAnsi="Arial" w:cs="Arial"/>
                <w:sz w:val="18"/>
              </w:rPr>
              <w:t>se převádějí na další období (kalendářního roku</w:t>
            </w:r>
            <w:r>
              <w:rPr>
                <w:rFonts w:ascii="Arial" w:eastAsia="Arial" w:hAnsi="Arial" w:cs="Arial"/>
                <w:sz w:val="18"/>
              </w:rPr>
              <w:t>)</w:t>
            </w:r>
            <w:r w:rsidR="00903C23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a je možné je využít i na konzultace nesouvisející </w:t>
            </w:r>
            <w:r w:rsidR="00903C23">
              <w:rPr>
                <w:rFonts w:ascii="Arial" w:eastAsia="Arial" w:hAnsi="Arial" w:cs="Arial"/>
                <w:sz w:val="18"/>
              </w:rPr>
              <w:t xml:space="preserve">s </w:t>
            </w:r>
            <w:r>
              <w:rPr>
                <w:rFonts w:ascii="Arial" w:eastAsia="Arial" w:hAnsi="Arial" w:cs="Arial"/>
                <w:sz w:val="18"/>
              </w:rPr>
              <w:t xml:space="preserve">provozem systému </w:t>
            </w:r>
            <w:r w:rsidR="00903C23">
              <w:rPr>
                <w:rFonts w:ascii="Arial" w:eastAsia="Arial" w:hAnsi="Arial" w:cs="Arial"/>
                <w:sz w:val="18"/>
              </w:rPr>
              <w:t>centrálního úložiště.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808D9" w14:paraId="415DF0B5" w14:textId="77777777" w:rsidTr="00CB4694">
        <w:tblPrEx>
          <w:tblCellMar>
            <w:top w:w="9" w:type="dxa"/>
            <w:left w:w="33" w:type="dxa"/>
            <w:right w:w="21" w:type="dxa"/>
          </w:tblCellMar>
        </w:tblPrEx>
        <w:trPr>
          <w:trHeight w:val="487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27482" w14:textId="77777777" w:rsidR="002808D9" w:rsidRDefault="00D34881">
            <w:r>
              <w:rPr>
                <w:rFonts w:ascii="Arial" w:eastAsia="Arial" w:hAnsi="Arial" w:cs="Arial"/>
                <w:b/>
                <w:sz w:val="18"/>
              </w:rPr>
              <w:t>Prostředí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C87AE" w14:textId="77777777" w:rsidR="002808D9" w:rsidRDefault="00D34881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LOGmanager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provádí sběr logů z aplikací a systémů pro potřeby auditu a bezpečnosti.</w:t>
            </w:r>
          </w:p>
        </w:tc>
      </w:tr>
      <w:tr w:rsidR="002808D9" w14:paraId="524D87FB" w14:textId="77777777" w:rsidTr="00903C23">
        <w:tblPrEx>
          <w:tblCellMar>
            <w:top w:w="9" w:type="dxa"/>
            <w:left w:w="33" w:type="dxa"/>
            <w:right w:w="21" w:type="dxa"/>
          </w:tblCellMar>
        </w:tblPrEx>
        <w:trPr>
          <w:trHeight w:val="240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BE82911" w14:textId="77777777" w:rsidR="002808D9" w:rsidRDefault="00D34881">
            <w:r>
              <w:rPr>
                <w:rFonts w:ascii="Arial" w:eastAsia="Arial" w:hAnsi="Arial" w:cs="Arial"/>
                <w:b/>
                <w:sz w:val="18"/>
              </w:rPr>
              <w:t>Dokumentace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47C5ECC" w14:textId="77777777" w:rsidR="002808D9" w:rsidRDefault="00D34881">
            <w:r>
              <w:rPr>
                <w:rFonts w:ascii="Arial" w:eastAsia="Arial" w:hAnsi="Arial" w:cs="Arial"/>
                <w:sz w:val="18"/>
              </w:rPr>
              <w:t xml:space="preserve">Implementační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dokumentace - dodá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zákazník</w:t>
            </w:r>
          </w:p>
        </w:tc>
      </w:tr>
      <w:tr w:rsidR="002808D9" w14:paraId="4172E46F" w14:textId="77777777" w:rsidTr="00903C23">
        <w:tblPrEx>
          <w:tblCellMar>
            <w:top w:w="9" w:type="dxa"/>
            <w:left w:w="33" w:type="dxa"/>
            <w:right w:w="21" w:type="dxa"/>
          </w:tblCellMar>
        </w:tblPrEx>
        <w:trPr>
          <w:trHeight w:val="1359"/>
        </w:trPr>
        <w:tc>
          <w:tcPr>
            <w:tcW w:w="52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69A27" w14:textId="77777777" w:rsidR="002808D9" w:rsidRDefault="00D34881">
            <w:r>
              <w:rPr>
                <w:rFonts w:ascii="Arial" w:eastAsia="Arial" w:hAnsi="Arial" w:cs="Arial"/>
                <w:i/>
                <w:sz w:val="18"/>
              </w:rPr>
              <w:t>4x za rok, při profylaxi</w:t>
            </w:r>
          </w:p>
        </w:tc>
        <w:tc>
          <w:tcPr>
            <w:tcW w:w="6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48836" w14:textId="77777777" w:rsidR="002808D9" w:rsidRDefault="00D34881">
            <w:pPr>
              <w:spacing w:after="11"/>
            </w:pPr>
            <w:r>
              <w:rPr>
                <w:rFonts w:ascii="Arial" w:eastAsia="Arial" w:hAnsi="Arial" w:cs="Arial"/>
                <w:sz w:val="18"/>
              </w:rPr>
              <w:t xml:space="preserve">Údržba dokumentace </w:t>
            </w:r>
          </w:p>
          <w:p w14:paraId="045A4262" w14:textId="77777777" w:rsidR="002808D9" w:rsidRDefault="00D34881">
            <w:r>
              <w:rPr>
                <w:rFonts w:ascii="Arial" w:eastAsia="Arial" w:hAnsi="Arial" w:cs="Arial"/>
                <w:sz w:val="18"/>
              </w:rPr>
              <w:t xml:space="preserve">Množina zařízení pro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sběr - dodá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zákazník</w:t>
            </w:r>
          </w:p>
          <w:p w14:paraId="15B15703" w14:textId="77777777" w:rsidR="002808D9" w:rsidRDefault="00D34881">
            <w:pPr>
              <w:spacing w:after="14" w:line="261" w:lineRule="auto"/>
            </w:pPr>
            <w:r>
              <w:rPr>
                <w:rFonts w:ascii="Arial" w:eastAsia="Arial" w:hAnsi="Arial" w:cs="Arial"/>
                <w:sz w:val="18"/>
              </w:rPr>
              <w:t xml:space="preserve">Podmínky generující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alerty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Je součástí vstupní konfigurace,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viz.definice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SIEM scénářů.</w:t>
            </w:r>
          </w:p>
          <w:p w14:paraId="4F63C46A" w14:textId="77777777" w:rsidR="002808D9" w:rsidRDefault="00D34881" w:rsidP="00903C23">
            <w:r>
              <w:rPr>
                <w:rFonts w:ascii="Arial" w:eastAsia="Arial" w:hAnsi="Arial" w:cs="Arial"/>
                <w:sz w:val="18"/>
              </w:rPr>
              <w:t xml:space="preserve">Seznam cílů pro zasílání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alertů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příp.proaktivních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upozornění – dodá zákazník</w:t>
            </w:r>
          </w:p>
        </w:tc>
      </w:tr>
      <w:tr w:rsidR="002808D9" w14:paraId="5729D05B" w14:textId="77777777" w:rsidTr="00D45420">
        <w:tblPrEx>
          <w:tblCellMar>
            <w:top w:w="9" w:type="dxa"/>
            <w:left w:w="33" w:type="dxa"/>
            <w:right w:w="26" w:type="dxa"/>
          </w:tblCellMar>
        </w:tblPrEx>
        <w:trPr>
          <w:trHeight w:val="228"/>
        </w:trPr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24718C8" w14:textId="2BDD4149" w:rsidR="002808D9" w:rsidRDefault="00D34881" w:rsidP="00903C23">
            <w:r>
              <w:rPr>
                <w:rFonts w:ascii="Arial" w:eastAsia="Arial" w:hAnsi="Arial" w:cs="Arial"/>
                <w:b/>
                <w:color w:val="FF0000"/>
                <w:sz w:val="18"/>
              </w:rPr>
              <w:t>Analytický report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(píše analytik)</w:t>
            </w:r>
          </w:p>
        </w:tc>
        <w:tc>
          <w:tcPr>
            <w:tcW w:w="603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C8EA3AD" w14:textId="77777777" w:rsidR="002808D9" w:rsidRDefault="00D34881">
            <w:pPr>
              <w:ind w:left="6"/>
              <w:jc w:val="center"/>
            </w:pPr>
            <w:r>
              <w:rPr>
                <w:rFonts w:ascii="Arial" w:eastAsia="Arial" w:hAnsi="Arial" w:cs="Arial"/>
                <w:sz w:val="18"/>
              </w:rPr>
              <w:t>1x za 3 měsíce</w:t>
            </w:r>
          </w:p>
        </w:tc>
      </w:tr>
      <w:tr w:rsidR="00903C23" w14:paraId="12914125" w14:textId="77777777" w:rsidTr="00D45420">
        <w:tblPrEx>
          <w:tblCellMar>
            <w:top w:w="9" w:type="dxa"/>
            <w:left w:w="33" w:type="dxa"/>
            <w:right w:w="26" w:type="dxa"/>
          </w:tblCellMar>
        </w:tblPrEx>
        <w:trPr>
          <w:trHeight w:val="541"/>
        </w:trPr>
        <w:tc>
          <w:tcPr>
            <w:tcW w:w="1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255D" w14:textId="64D7C0DF" w:rsidR="00903C23" w:rsidRDefault="00903C23" w:rsidP="00CB4694">
            <w:pPr>
              <w:spacing w:after="11"/>
            </w:pPr>
            <w:r>
              <w:rPr>
                <w:rFonts w:ascii="Arial" w:eastAsia="Arial" w:hAnsi="Arial" w:cs="Arial"/>
                <w:sz w:val="18"/>
              </w:rPr>
              <w:t xml:space="preserve">Rozdělení minimálně na bezpečnostní (např. chybné přihlášení, podezřelé chování, útoky na IT infrastrukturu…) a provozní incidenty, a to </w:t>
            </w:r>
            <w:r w:rsidRPr="00903C23">
              <w:rPr>
                <w:rFonts w:ascii="Arial" w:eastAsia="Arial" w:hAnsi="Arial" w:cs="Arial"/>
                <w:sz w:val="18"/>
              </w:rPr>
              <w:t>podle uživatelů a četnosti</w:t>
            </w:r>
            <w:r w:rsidRPr="00CB4694">
              <w:rPr>
                <w:rFonts w:ascii="Arial" w:eastAsia="Arial" w:hAnsi="Arial" w:cs="Arial"/>
                <w:sz w:val="18"/>
              </w:rPr>
              <w:t>, p</w:t>
            </w:r>
            <w:r w:rsidRPr="00903C23">
              <w:rPr>
                <w:rFonts w:ascii="Arial" w:eastAsia="Arial" w:hAnsi="Arial" w:cs="Arial"/>
                <w:sz w:val="18"/>
              </w:rPr>
              <w:t>odle aktiv</w:t>
            </w:r>
            <w:r w:rsidRPr="00CB4694">
              <w:rPr>
                <w:rFonts w:ascii="Arial" w:eastAsia="Arial" w:hAnsi="Arial" w:cs="Arial"/>
                <w:sz w:val="18"/>
              </w:rPr>
              <w:t>, p</w:t>
            </w:r>
            <w:r w:rsidRPr="00903C23">
              <w:rPr>
                <w:rFonts w:ascii="Arial" w:eastAsia="Arial" w:hAnsi="Arial" w:cs="Arial"/>
                <w:sz w:val="18"/>
              </w:rPr>
              <w:t>odle organizačních jednotek</w:t>
            </w:r>
            <w:r w:rsidRPr="00CB4694">
              <w:rPr>
                <w:rFonts w:ascii="Arial" w:eastAsia="Arial" w:hAnsi="Arial" w:cs="Arial"/>
                <w:sz w:val="18"/>
              </w:rPr>
              <w:t xml:space="preserve">; součástí reportu </w:t>
            </w:r>
            <w:r w:rsidR="00CB4694" w:rsidRPr="00CB4694">
              <w:rPr>
                <w:rFonts w:ascii="Arial" w:eastAsia="Arial" w:hAnsi="Arial" w:cs="Arial"/>
                <w:sz w:val="18"/>
              </w:rPr>
              <w:t>je</w:t>
            </w:r>
            <w:r w:rsidRPr="00CB4694">
              <w:rPr>
                <w:rFonts w:ascii="Arial" w:eastAsia="Arial" w:hAnsi="Arial" w:cs="Arial"/>
                <w:sz w:val="18"/>
              </w:rPr>
              <w:t xml:space="preserve"> d</w:t>
            </w:r>
            <w:r w:rsidRPr="00903C23">
              <w:rPr>
                <w:rFonts w:ascii="Arial" w:eastAsia="Arial" w:hAnsi="Arial" w:cs="Arial"/>
                <w:sz w:val="18"/>
              </w:rPr>
              <w:t>oporučení pro další sledovaný následující měsíc ke</w:t>
            </w:r>
            <w:r w:rsidR="00CB4694">
              <w:rPr>
                <w:rFonts w:ascii="Arial" w:eastAsia="Arial" w:hAnsi="Arial" w:cs="Arial"/>
                <w:sz w:val="18"/>
              </w:rPr>
              <w:t> </w:t>
            </w:r>
            <w:r w:rsidRPr="00903C23">
              <w:rPr>
                <w:rFonts w:ascii="Arial" w:eastAsia="Arial" w:hAnsi="Arial" w:cs="Arial"/>
                <w:sz w:val="18"/>
              </w:rPr>
              <w:t>snížení rizik</w:t>
            </w:r>
            <w:r w:rsidRPr="00CB4694">
              <w:rPr>
                <w:rFonts w:ascii="Arial" w:eastAsia="Arial" w:hAnsi="Arial" w:cs="Arial"/>
                <w:sz w:val="18"/>
              </w:rPr>
              <w:t>, g</w:t>
            </w:r>
            <w:r w:rsidRPr="00903C23">
              <w:rPr>
                <w:rFonts w:ascii="Arial" w:eastAsia="Arial" w:hAnsi="Arial" w:cs="Arial"/>
                <w:sz w:val="18"/>
              </w:rPr>
              <w:t>rafická část</w:t>
            </w:r>
            <w:r>
              <w:rPr>
                <w:rFonts w:ascii="Arial" w:eastAsia="Arial" w:hAnsi="Arial" w:cs="Arial"/>
                <w:sz w:val="18"/>
              </w:rPr>
              <w:t xml:space="preserve"> reportu, konfigurace reportů dle požadavků a generování reportů.</w:t>
            </w:r>
          </w:p>
        </w:tc>
      </w:tr>
    </w:tbl>
    <w:p w14:paraId="64F0150E" w14:textId="63A3D5BB" w:rsidR="002808D9" w:rsidRDefault="002808D9" w:rsidP="00693F6F">
      <w:pPr>
        <w:spacing w:after="138"/>
        <w:ind w:left="5346" w:right="-15" w:hanging="10"/>
      </w:pPr>
    </w:p>
    <w:sectPr w:rsidR="002808D9">
      <w:pgSz w:w="11904" w:h="16836"/>
      <w:pgMar w:top="262" w:right="5672" w:bottom="276" w:left="3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7717B"/>
    <w:multiLevelType w:val="hybridMultilevel"/>
    <w:tmpl w:val="5C98B446"/>
    <w:lvl w:ilvl="0" w:tplc="ECDC7A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6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D9"/>
    <w:rsid w:val="00185D6E"/>
    <w:rsid w:val="002808D9"/>
    <w:rsid w:val="00371E8E"/>
    <w:rsid w:val="00382EBE"/>
    <w:rsid w:val="00440622"/>
    <w:rsid w:val="004F465A"/>
    <w:rsid w:val="00693F6F"/>
    <w:rsid w:val="00903C23"/>
    <w:rsid w:val="00A462CD"/>
    <w:rsid w:val="00C30D21"/>
    <w:rsid w:val="00CB4694"/>
    <w:rsid w:val="00D144A1"/>
    <w:rsid w:val="00D34881"/>
    <w:rsid w:val="00D45420"/>
    <w:rsid w:val="00DA7E46"/>
    <w:rsid w:val="00DB7160"/>
    <w:rsid w:val="00E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A3E1"/>
  <w15:docId w15:val="{331999A0-CFE2-4797-BB6B-BBB3A436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85D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5D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5D6E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D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D6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5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D6E"/>
    <w:rPr>
      <w:rFonts w:ascii="Segoe UI" w:eastAsia="Calibr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0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kon_x010d_eno xmlns="fcc1d24b-8e85-4ff9-844a-55564d154f45">false</Ukon_x010d_eno>
    <Smlouva xmlns="fcc1d24b-8e85-4ff9-844a-55564d154f45" xsi:nil="true"/>
    <Typ_x0020_VZ xmlns="fcc1d24b-8e85-4ff9-844a-55564d154f45">NL</Typ_x0020_V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70C5A81CE272438767E6C057D40226" ma:contentTypeVersion="4" ma:contentTypeDescription="Vytvoří nový dokument" ma:contentTypeScope="" ma:versionID="5fbd9b6d0a3de961c2a0baa9386a1530">
  <xsd:schema xmlns:xsd="http://www.w3.org/2001/XMLSchema" xmlns:xs="http://www.w3.org/2001/XMLSchema" xmlns:p="http://schemas.microsoft.com/office/2006/metadata/properties" xmlns:ns2="fcc1d24b-8e85-4ff9-844a-55564d154f45" xmlns:ns3="53c02163-4f2d-4701-b24d-de1731728024" targetNamespace="http://schemas.microsoft.com/office/2006/metadata/properties" ma:root="true" ma:fieldsID="1a98818d499bf4c1c5b80a49a71eee3f" ns2:_="" ns3:_="">
    <xsd:import namespace="fcc1d24b-8e85-4ff9-844a-55564d154f45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Ukon_x010d_eno" minOccurs="0"/>
                <xsd:element ref="ns2:Typ_x0020_VZ" minOccurs="0"/>
                <xsd:element ref="ns2:Smlouv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d24b-8e85-4ff9-844a-55564d154f45" elementFormDefault="qualified">
    <xsd:import namespace="http://schemas.microsoft.com/office/2006/documentManagement/types"/>
    <xsd:import namespace="http://schemas.microsoft.com/office/infopath/2007/PartnerControls"/>
    <xsd:element name="Ukon_x010d_eno" ma:index="8" nillable="true" ma:displayName="Ukončeno" ma:default="0" ma:internalName="Ukon_x010d_eno">
      <xsd:simpleType>
        <xsd:restriction base="dms:Boolean"/>
      </xsd:simpleType>
    </xsd:element>
    <xsd:element name="Typ_x0020_VZ" ma:index="9" nillable="true" ma:displayName="Typ VZ" ma:default="ZMR" ma:format="Dropdown" ma:internalName="Typ_x0020_VZ">
      <xsd:simpleType>
        <xsd:restriction base="dms:Choice">
          <xsd:enumeration value="ZMR"/>
          <xsd:enumeration value="JŘBU"/>
          <xsd:enumeration value="PL"/>
          <xsd:enumeration value="NL"/>
          <xsd:enumeration value="Dílčí smlouva"/>
        </xsd:restriction>
      </xsd:simpleType>
    </xsd:element>
    <xsd:element name="Smlouva" ma:index="10" nillable="true" ma:displayName="Smlouva" ma:internalName="Smlouv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532C1-CADD-4334-B995-57A52CFC2E7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fcc1d24b-8e85-4ff9-844a-55564d154f45"/>
    <ds:schemaRef ds:uri="http://schemas.microsoft.com/office/infopath/2007/PartnerControls"/>
    <ds:schemaRef ds:uri="http://schemas.openxmlformats.org/package/2006/metadata/core-properties"/>
    <ds:schemaRef ds:uri="53c02163-4f2d-4701-b24d-de17317280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6952B3-BD5A-4FED-994F-830C5539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C8BF4-041D-4711-8B3B-1851F3F88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d24b-8e85-4ff9-844a-55564d154f45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Devetter Jan</dc:creator>
  <cp:keywords/>
  <cp:lastModifiedBy>Bezstarosti Kateřina</cp:lastModifiedBy>
  <cp:revision>2</cp:revision>
  <dcterms:created xsi:type="dcterms:W3CDTF">2024-11-14T12:09:00Z</dcterms:created>
  <dcterms:modified xsi:type="dcterms:W3CDTF">2024-11-14T12:09:00Z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0x010100E270C5A81CE272438767E6C057D40226</vt:lpwstr>
  </property>
</Properties>
</file>