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AEF33" w14:textId="77777777" w:rsidR="00B265BC" w:rsidRDefault="00B265BC">
      <w:pPr>
        <w:jc w:val="both"/>
        <w:rPr>
          <w:b/>
        </w:rPr>
      </w:pPr>
    </w:p>
    <w:p w14:paraId="70076EBC" w14:textId="77777777" w:rsidR="00B265BC" w:rsidRDefault="00B265BC">
      <w:pPr>
        <w:jc w:val="both"/>
        <w:rPr>
          <w:b/>
        </w:rPr>
      </w:pPr>
    </w:p>
    <w:p w14:paraId="6830221F" w14:textId="77777777" w:rsidR="00B265BC" w:rsidRDefault="00000000">
      <w:pPr>
        <w:jc w:val="both"/>
        <w:rPr>
          <w:b/>
        </w:rPr>
      </w:pPr>
      <w:r>
        <w:rPr>
          <w:b/>
        </w:rPr>
        <w:t xml:space="preserve">STAVEBNÍ PROGRAM </w:t>
      </w:r>
    </w:p>
    <w:p w14:paraId="1999FAF9" w14:textId="77777777" w:rsidR="00B265BC" w:rsidRDefault="00B265BC">
      <w:pPr>
        <w:jc w:val="both"/>
      </w:pPr>
    </w:p>
    <w:p w14:paraId="433DD1A9" w14:textId="77777777" w:rsidR="00B265B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Popis území – obecně</w:t>
      </w:r>
    </w:p>
    <w:p w14:paraId="35A12ADE" w14:textId="77777777" w:rsidR="00B265BC" w:rsidRDefault="00000000">
      <w:pPr>
        <w:jc w:val="both"/>
      </w:pPr>
      <w:r>
        <w:t>Městská část Praha – Kolovraty se nachází v jihovýchodní okrajové části Prahy. Jedná se o lokalitu, která se v posledních 20 letech značně rozrostla a do budoucna je plánována další bytová zástavba v severovýchodní části. </w:t>
      </w:r>
    </w:p>
    <w:p w14:paraId="02F664C3" w14:textId="77777777" w:rsidR="00B265BC" w:rsidRDefault="00000000">
      <w:pPr>
        <w:jc w:val="both"/>
      </w:pPr>
      <w:r>
        <w:t xml:space="preserve">Z hlediska urbanistické struktury jsou limitující liniové stavby železniční tratě a ulice Mírová, která kopíruje původní historickou komunikaci, podél níž se rozvíjela zástavba Kolovrat s centrem okolo kostela. Později se centrum přesunulo ke knihovně s infocentrem a základní škole. </w:t>
      </w:r>
    </w:p>
    <w:p w14:paraId="418445B6" w14:textId="77777777" w:rsidR="00B265BC" w:rsidRDefault="00000000">
      <w:pPr>
        <w:jc w:val="both"/>
      </w:pPr>
      <w:r>
        <w:t>Z historických map je zřejmý veřejný prostor, nazývaný také Viničky nebo náves Na Viničkách, ohraničený ze severu a jihu zástavbou rodinných domů, ze západu školou a z východu stávajícím Hostincem U Boudů.</w:t>
      </w:r>
    </w:p>
    <w:p w14:paraId="0A732BCB" w14:textId="77777777" w:rsidR="00B265BC" w:rsidRDefault="00000000">
      <w:pPr>
        <w:jc w:val="both"/>
      </w:pPr>
      <w:r>
        <w:t xml:space="preserve">Se zvyšující se intenzitou automobilové dopravy na ulici Mírová postupně došlo k rozdělení prostoru na řadu funkčně i prostorově oddělených celků. </w:t>
      </w:r>
    </w:p>
    <w:p w14:paraId="7F63B899" w14:textId="77777777" w:rsidR="00B265BC" w:rsidRDefault="00000000">
      <w:pPr>
        <w:jc w:val="both"/>
      </w:pPr>
      <w:r>
        <w:t>Viničky jsou centrálním veřejným prostorem, který je pro budoucnost obyvatel rozvíjejících se Kolovrat stěžejní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FADCC14" w14:textId="77777777" w:rsidR="00B265BC" w:rsidRDefault="00B265BC">
      <w:pPr>
        <w:jc w:val="both"/>
      </w:pPr>
    </w:p>
    <w:p w14:paraId="397AF6E7" w14:textId="77777777" w:rsidR="00B265B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Popis území – z pohledu dopravy</w:t>
      </w:r>
    </w:p>
    <w:p w14:paraId="3D5EDB61" w14:textId="77777777" w:rsidR="00B265BC" w:rsidRDefault="00000000">
      <w:pPr>
        <w:jc w:val="both"/>
      </w:pPr>
      <w:r>
        <w:t xml:space="preserve">V oblasti se mísí dopravní a pobytová funkce, přičemž účel dopravní převažuje. </w:t>
      </w:r>
    </w:p>
    <w:p w14:paraId="7B12DB72" w14:textId="77777777" w:rsidR="00B265BC" w:rsidRDefault="00000000">
      <w:pPr>
        <w:jc w:val="both"/>
      </w:pPr>
      <w:r>
        <w:t>Pěší mají v řešeném území k dispozici běžné chodníky a přechody pro chodce.</w:t>
      </w:r>
    </w:p>
    <w:p w14:paraId="1D79A1FF" w14:textId="77777777" w:rsidR="00B265BC" w:rsidRDefault="00000000">
      <w:pPr>
        <w:jc w:val="both"/>
      </w:pPr>
      <w:r>
        <w:t xml:space="preserve">Pro cyklisty jsou zde umístěny cyklostojany a stojany pro koloběžky. (V paralelní ulici U Jezu probíhá aktuálně stavba nadřazené cyklistické trasy A3.)   </w:t>
      </w:r>
    </w:p>
    <w:p w14:paraId="5E487798" w14:textId="77777777" w:rsidR="00B265BC" w:rsidRDefault="00000000">
      <w:pPr>
        <w:jc w:val="both"/>
      </w:pPr>
      <w:r>
        <w:t xml:space="preserve">Automobily jsou v prostoru zcela dominantní, a to co se týče jízdy, tak i parkování. </w:t>
      </w:r>
    </w:p>
    <w:p w14:paraId="1D20F8C2" w14:textId="77777777" w:rsidR="00B265BC" w:rsidRDefault="00000000">
      <w:pPr>
        <w:jc w:val="both"/>
      </w:pPr>
      <w:r>
        <w:t xml:space="preserve">Po ulici Mírová je vedena městská veřejná doprava. Autobusové linky jsou dvě a přestupní bod se nachází na zastávce Škola Kolovraty. </w:t>
      </w:r>
    </w:p>
    <w:p w14:paraId="14F3EB98" w14:textId="77777777" w:rsidR="00B265BC" w:rsidRDefault="00000000">
      <w:pPr>
        <w:jc w:val="both"/>
      </w:pPr>
      <w:r>
        <w:t xml:space="preserve">Intenzita dopravy na komunikaci Mírová se pohybuje okolo 2 500 vozidel za den. Do budoucna je počítáno se zvýšenou bytovou zástavbou v severovýchodní části Kolovrat a lze předpokládat zvýšení pěších, cyklistických a automobilových intenzit v řešeném území. Pravděpodobně dojde i k posílení veřejné hromadné </w:t>
      </w:r>
      <w:proofErr w:type="gramStart"/>
      <w:r>
        <w:t>dopravy ,</w:t>
      </w:r>
      <w:proofErr w:type="gramEnd"/>
      <w:r>
        <w:t xml:space="preserve"> ale lze </w:t>
      </w:r>
      <w:r>
        <w:lastRenderedPageBreak/>
        <w:t xml:space="preserve">předpokládat, že nedosáhne počtu provozovaných spojů menší než 8 minut. Kapacita školy na Mírové zůstane stejná.  </w:t>
      </w:r>
    </w:p>
    <w:p w14:paraId="6CA1D3C6" w14:textId="77777777" w:rsidR="00B265BC" w:rsidRDefault="00B265BC">
      <w:pPr>
        <w:jc w:val="both"/>
      </w:pPr>
    </w:p>
    <w:p w14:paraId="17463D8E" w14:textId="77777777" w:rsidR="00B265B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Členění území</w:t>
      </w:r>
    </w:p>
    <w:p w14:paraId="7CB43657" w14:textId="77777777" w:rsidR="00B265BC" w:rsidRDefault="00000000">
      <w:pPr>
        <w:jc w:val="both"/>
      </w:pPr>
      <w:r>
        <w:t xml:space="preserve">Pro potřeby záměru revitalizace jsme prostor, který není v současné době homogenní a tvoří ho řada funkčně i prostorově oddělených celků, rozdělili na užší a širší území. </w:t>
      </w:r>
    </w:p>
    <w:p w14:paraId="2895ABEE" w14:textId="77777777" w:rsidR="00B265BC" w:rsidRDefault="00000000">
      <w:pPr>
        <w:jc w:val="both"/>
      </w:pPr>
      <w:r>
        <w:t>Mapa území s vyznačeným členěním je přílohou tohoto dokumentu.</w:t>
      </w:r>
    </w:p>
    <w:p w14:paraId="10F19AE9" w14:textId="77777777" w:rsidR="00B265BC" w:rsidRDefault="00000000">
      <w:pPr>
        <w:jc w:val="both"/>
      </w:pPr>
      <w:r>
        <w:t>Užší území (včetně komunikace Mírová) je o rozloze cca 10.500 m2.</w:t>
      </w:r>
    </w:p>
    <w:p w14:paraId="1FD0A122" w14:textId="77777777" w:rsidR="00B265BC" w:rsidRDefault="00000000">
      <w:pPr>
        <w:jc w:val="both"/>
      </w:pPr>
      <w:r>
        <w:t xml:space="preserve">Širší území (bez komunikace Mírová) je o rozloze cca 11.900 m2. </w:t>
      </w:r>
    </w:p>
    <w:p w14:paraId="21C24994" w14:textId="77777777" w:rsidR="00B265BC" w:rsidRDefault="00000000">
      <w:pPr>
        <w:jc w:val="both"/>
      </w:pPr>
      <w:r>
        <w:t xml:space="preserve">Rozloha obou území je cca 22.400 m2. </w:t>
      </w:r>
    </w:p>
    <w:p w14:paraId="358D7D65" w14:textId="77777777" w:rsidR="00B265BC" w:rsidRDefault="00B265BC">
      <w:pPr>
        <w:jc w:val="both"/>
      </w:pPr>
    </w:p>
    <w:p w14:paraId="1010623D" w14:textId="77777777" w:rsidR="00B265BC" w:rsidRDefault="00000000">
      <w:pPr>
        <w:jc w:val="both"/>
        <w:rPr>
          <w:b/>
        </w:rPr>
      </w:pPr>
      <w:r>
        <w:rPr>
          <w:b/>
        </w:rPr>
        <w:t>V rámci Užšího území jsou stěžejní plochy k řešení:</w:t>
      </w:r>
    </w:p>
    <w:p w14:paraId="5F9569C4" w14:textId="77777777" w:rsidR="00B265BC" w:rsidRDefault="00000000">
      <w:pPr>
        <w:numPr>
          <w:ilvl w:val="0"/>
          <w:numId w:val="1"/>
        </w:numPr>
        <w:jc w:val="both"/>
        <w:rPr>
          <w:u w:val="single"/>
        </w:rPr>
      </w:pPr>
      <w:r>
        <w:rPr>
          <w:u w:val="single"/>
        </w:rPr>
        <w:t>Atrium u Knihovny s infocentrem </w:t>
      </w:r>
    </w:p>
    <w:p w14:paraId="02077978" w14:textId="77777777" w:rsidR="00B265BC" w:rsidRDefault="00000000">
      <w:pPr>
        <w:jc w:val="both"/>
      </w:pPr>
      <w:r>
        <w:t>Dlážděná plocha s fontánou uprostřed, lavičkami a malým množstvím zeleně po obvodu. Vodní prvek je dětmi poměrně oblíbený, přestože není využitelný ke hrám a osvěžení. Prostor slouží dvakrát ročně k pořádání jarmarků, během dne se tam občas zastaví maminky s dětmi, po výuce tu posedávají žáci školy. </w:t>
      </w:r>
    </w:p>
    <w:p w14:paraId="73CBAE55" w14:textId="77777777" w:rsidR="00B265BC" w:rsidRDefault="00000000">
      <w:pPr>
        <w:jc w:val="both"/>
      </w:pPr>
      <w:r>
        <w:t xml:space="preserve">V budovách ohraničujících atrium se nachází knihovna s infocentrem a komerční prostory (aktuálně obchod se zdravou výživou, nehtové studio, opravna hudebních nástrojů a kanceláře) a také byty. </w:t>
      </w:r>
    </w:p>
    <w:p w14:paraId="67EBE67E" w14:textId="77777777" w:rsidR="00B265BC" w:rsidRDefault="00000000">
      <w:pPr>
        <w:numPr>
          <w:ilvl w:val="0"/>
          <w:numId w:val="9"/>
        </w:numPr>
        <w:jc w:val="both"/>
        <w:rPr>
          <w:u w:val="single"/>
        </w:rPr>
      </w:pPr>
      <w:r>
        <w:rPr>
          <w:u w:val="single"/>
        </w:rPr>
        <w:t>Předprostor základní školy</w:t>
      </w:r>
    </w:p>
    <w:p w14:paraId="5FF66B07" w14:textId="77777777" w:rsidR="00B265BC" w:rsidRDefault="00000000">
      <w:pPr>
        <w:jc w:val="both"/>
      </w:pPr>
      <w:r>
        <w:t>Je tvořen úzkým pásem trávníku podél školy, chodníkem s lavičkami a pásem zeleně, oddělujícím předprostor školy od hlavní silnice. Na rohu školy se nachází pomník obětem 1. světové války s uvedením jmen padlých. </w:t>
      </w:r>
    </w:p>
    <w:p w14:paraId="0B74E408" w14:textId="77777777" w:rsidR="00B265BC" w:rsidRDefault="00000000">
      <w:pPr>
        <w:numPr>
          <w:ilvl w:val="0"/>
          <w:numId w:val="16"/>
        </w:numPr>
        <w:jc w:val="both"/>
        <w:rPr>
          <w:u w:val="single"/>
        </w:rPr>
      </w:pPr>
      <w:r>
        <w:rPr>
          <w:u w:val="single"/>
        </w:rPr>
        <w:t>Park </w:t>
      </w:r>
    </w:p>
    <w:p w14:paraId="1E5CBD62" w14:textId="77777777" w:rsidR="00B265BC" w:rsidRDefault="00000000">
      <w:pPr>
        <w:jc w:val="both"/>
      </w:pPr>
      <w:r>
        <w:t>Park není občany v podstatě vůbec využíván, nikdo nemá tendenci v něm trávit čas, s výjimkou školy, která zde občas organizuje venkovní aktivity. Do parku se nepodařilo nalákat lidi ani během letošní akce Zažít Kolovraty jinak; aktivity tam umístěné zůstaly poměrně hodně stranou zájmu návštěvníků.  Nachází se zde travnaté plochy se vzrostlými stromy, pás jarních cibulovin v trávníku. Plocha parku je násilně rozdělena příjezdovou komunikací k rodinným domům.</w:t>
      </w:r>
    </w:p>
    <w:p w14:paraId="66DA0E19" w14:textId="77777777" w:rsidR="00B265BC" w:rsidRDefault="00000000">
      <w:pPr>
        <w:numPr>
          <w:ilvl w:val="0"/>
          <w:numId w:val="17"/>
        </w:numPr>
        <w:jc w:val="both"/>
        <w:rPr>
          <w:u w:val="single"/>
        </w:rPr>
      </w:pPr>
      <w:r>
        <w:rPr>
          <w:u w:val="single"/>
        </w:rPr>
        <w:t>Předprostor Hostince U Boudů</w:t>
      </w:r>
    </w:p>
    <w:p w14:paraId="565BC972" w14:textId="77777777" w:rsidR="00B265BC" w:rsidRDefault="00000000">
      <w:pPr>
        <w:jc w:val="both"/>
      </w:pPr>
      <w:r>
        <w:lastRenderedPageBreak/>
        <w:t>Jedná se de facto o parkoviště. K parkování je hojně využívána i plocha mimo vyznačená parkovací stání, často bezprostředně u vchodu do hostince, kterou využívají i rodiče vozící děti na kroužky. Za hostincem U Boudů se nachází prostory místního Domu dětí a mládeže, v patře budovy s hostincem bylo vybudováno komunitní centrum.  </w:t>
      </w:r>
    </w:p>
    <w:p w14:paraId="1A4BF7A1" w14:textId="77777777" w:rsidR="00B265BC" w:rsidRDefault="00000000">
      <w:pPr>
        <w:numPr>
          <w:ilvl w:val="0"/>
          <w:numId w:val="17"/>
        </w:numPr>
        <w:jc w:val="both"/>
        <w:rPr>
          <w:u w:val="single"/>
        </w:rPr>
      </w:pPr>
      <w:r>
        <w:rPr>
          <w:u w:val="single"/>
        </w:rPr>
        <w:t xml:space="preserve">Parkoviště na křižovatce ul. Mírová a ul. Do </w:t>
      </w:r>
      <w:proofErr w:type="gramStart"/>
      <w:r>
        <w:rPr>
          <w:u w:val="single"/>
        </w:rPr>
        <w:t>Lipan - pod</w:t>
      </w:r>
      <w:proofErr w:type="gramEnd"/>
      <w:r>
        <w:rPr>
          <w:u w:val="single"/>
        </w:rPr>
        <w:t xml:space="preserve"> kostelem</w:t>
      </w:r>
    </w:p>
    <w:p w14:paraId="6F678D76" w14:textId="77777777" w:rsidR="00B265BC" w:rsidRDefault="00000000">
      <w:pPr>
        <w:jc w:val="both"/>
      </w:pPr>
      <w:r>
        <w:t>Ploše pohledově dominují kontejnery na tříděný odpad. Většina plochy je zpevněná zámkovou dlažbou.</w:t>
      </w:r>
    </w:p>
    <w:p w14:paraId="72AAEDFC" w14:textId="77777777" w:rsidR="00B265BC" w:rsidRDefault="00000000">
      <w:pPr>
        <w:numPr>
          <w:ilvl w:val="0"/>
          <w:numId w:val="17"/>
        </w:numPr>
        <w:jc w:val="both"/>
        <w:rPr>
          <w:u w:val="single"/>
        </w:rPr>
      </w:pPr>
      <w:r>
        <w:rPr>
          <w:u w:val="single"/>
        </w:rPr>
        <w:t>Kostel sv. Ondřeje a zelená plocha u ulice Mírová</w:t>
      </w:r>
    </w:p>
    <w:p w14:paraId="2278E225" w14:textId="77777777" w:rsidR="00B265BC" w:rsidRDefault="00000000">
      <w:pPr>
        <w:jc w:val="both"/>
      </w:pPr>
      <w:r>
        <w:t xml:space="preserve">Zelená plocha pod kostelem není rekreačně využívána. Nachází se zde travnatá plocha se vzrostlými stromy. Z boku kostela je neprůjezdná komunikace s lavičkami. </w:t>
      </w:r>
    </w:p>
    <w:p w14:paraId="12887A30" w14:textId="77777777" w:rsidR="00B265BC" w:rsidRDefault="00B265BC">
      <w:pPr>
        <w:jc w:val="both"/>
      </w:pPr>
    </w:p>
    <w:p w14:paraId="18C447A0" w14:textId="77777777" w:rsidR="00B265BC" w:rsidRDefault="00000000">
      <w:pPr>
        <w:jc w:val="both"/>
      </w:pPr>
      <w:r>
        <w:rPr>
          <w:b/>
        </w:rPr>
        <w:t>V rámci Širšího území jsou v rámci koncepční studie stěžejní plochy k řešení:</w:t>
      </w:r>
    </w:p>
    <w:p w14:paraId="3CFC83D7" w14:textId="77777777" w:rsidR="00B265BC" w:rsidRDefault="00000000">
      <w:pPr>
        <w:numPr>
          <w:ilvl w:val="0"/>
          <w:numId w:val="17"/>
        </w:numPr>
        <w:jc w:val="both"/>
        <w:rPr>
          <w:u w:val="single"/>
        </w:rPr>
      </w:pPr>
      <w:r>
        <w:rPr>
          <w:u w:val="single"/>
        </w:rPr>
        <w:t>Budova domu s pečovatelskou službou</w:t>
      </w:r>
    </w:p>
    <w:p w14:paraId="3E5AAA38" w14:textId="77777777" w:rsidR="00B265BC" w:rsidRDefault="00000000">
      <w:pPr>
        <w:jc w:val="both"/>
      </w:pPr>
      <w:r>
        <w:t>V objektu pečovatelské služby je umístěna rovněž školní jídelna a fitcentrum. Dlážděný prostor pod lipami využívá fitcentrum během letní sezóny k umístění stolků a židliček pro hosty jejich kavárny. Moc návštěvníků sem ovšem nechodí, povědomí o existenci kavárny není mezi lidmi příliš rozšířené. </w:t>
      </w:r>
    </w:p>
    <w:p w14:paraId="3740FB63" w14:textId="77777777" w:rsidR="00B265BC" w:rsidRDefault="00000000">
      <w:pPr>
        <w:numPr>
          <w:ilvl w:val="0"/>
          <w:numId w:val="17"/>
        </w:numPr>
        <w:jc w:val="both"/>
        <w:rPr>
          <w:u w:val="single"/>
        </w:rPr>
      </w:pPr>
      <w:r>
        <w:rPr>
          <w:u w:val="single"/>
        </w:rPr>
        <w:t>Hasičská stanice</w:t>
      </w:r>
    </w:p>
    <w:p w14:paraId="52F8E506" w14:textId="77777777" w:rsidR="00B265BC" w:rsidRDefault="00000000">
      <w:pPr>
        <w:jc w:val="both"/>
      </w:pPr>
      <w:r>
        <w:t>Plocha před hasičskou stanicí je uzpůsobena provozu hasičské techniky. Bezprostředně vedle hasičské stanice je zpevněná plocha parkoviště bez zeleně. </w:t>
      </w:r>
    </w:p>
    <w:p w14:paraId="3176EBC6" w14:textId="77777777" w:rsidR="00B265BC" w:rsidRDefault="00000000">
      <w:pPr>
        <w:numPr>
          <w:ilvl w:val="0"/>
          <w:numId w:val="17"/>
        </w:numPr>
        <w:jc w:val="both"/>
        <w:rPr>
          <w:u w:val="single"/>
        </w:rPr>
      </w:pPr>
      <w:r>
        <w:rPr>
          <w:u w:val="single"/>
        </w:rPr>
        <w:t>Předprostor úřadu Městské části a plocha na protější straně ulice před bytovými domy</w:t>
      </w:r>
    </w:p>
    <w:p w14:paraId="3A3FE78B" w14:textId="77777777" w:rsidR="00B265BC" w:rsidRDefault="00000000">
      <w:pPr>
        <w:jc w:val="both"/>
      </w:pPr>
      <w:r>
        <w:t xml:space="preserve">Budova úřadu prošla v roce 2024 rozsáhlou rekonstrukcí. V nejbližší </w:t>
      </w:r>
      <w:proofErr w:type="gramStart"/>
      <w:r>
        <w:t>době  bude</w:t>
      </w:r>
      <w:proofErr w:type="gramEnd"/>
      <w:r>
        <w:t xml:space="preserve"> nově upravena a osázena plocha u úřadu. </w:t>
      </w:r>
    </w:p>
    <w:p w14:paraId="40A28674" w14:textId="77777777" w:rsidR="00B265BC" w:rsidRDefault="00000000">
      <w:pPr>
        <w:jc w:val="both"/>
      </w:pPr>
      <w:r>
        <w:t>Plocha na protější straně ulice je aktuálně využívaná k posezení hosty Vinotéky. Proběhlo zde i několik společensko-kulturních akcí, během akce Zažít Kolovraty jinak šlo o nejvíce využitou lokalitu. </w:t>
      </w:r>
    </w:p>
    <w:p w14:paraId="360CEA81" w14:textId="77777777" w:rsidR="00B265BC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  <w:u w:val="single"/>
        </w:rPr>
        <w:t>V Tehovičkách – dlážděná plocha v blízkosti zvoničky a přilehlá travnatá plocha</w:t>
      </w:r>
    </w:p>
    <w:p w14:paraId="288D32F4" w14:textId="77777777" w:rsidR="00B265BC" w:rsidRDefault="00000000">
      <w:pPr>
        <w:jc w:val="both"/>
      </w:pPr>
      <w:r>
        <w:t>Kromě samotné zvoničky v tomto prostoru není nic poutavého. Dlážděná plocha s místy pro parkování a trávník. Jen zjara zde kvetou vysazené cibuloviny a nově vznikne plocha květnaté loučky. </w:t>
      </w:r>
    </w:p>
    <w:p w14:paraId="4BE8772F" w14:textId="77777777" w:rsidR="00B265BC" w:rsidRDefault="00000000">
      <w:pPr>
        <w:numPr>
          <w:ilvl w:val="0"/>
          <w:numId w:val="17"/>
        </w:numPr>
        <w:jc w:val="both"/>
        <w:rPr>
          <w:u w:val="single"/>
        </w:rPr>
      </w:pPr>
      <w:r>
        <w:rPr>
          <w:u w:val="single"/>
        </w:rPr>
        <w:t>Škvárová plocha při ulici Mírová mezi ul. Do Lipan a Nad Nádrží</w:t>
      </w:r>
    </w:p>
    <w:p w14:paraId="303116EC" w14:textId="77777777" w:rsidR="00B265BC" w:rsidRDefault="00000000">
      <w:pPr>
        <w:jc w:val="both"/>
      </w:pPr>
      <w:r>
        <w:t>Zde parkují svá vozidla majitelé přilehlých nemovitostí. Jedná se o jednu z ploch, kam by variantně mohly být umístěny kontejnery místo plochy pod kostelem, což by ale vyžadovalo zpevnění manipulační plochy pro vjezd popelářských vozů. </w:t>
      </w:r>
    </w:p>
    <w:p w14:paraId="66493532" w14:textId="77777777" w:rsidR="00B265BC" w:rsidRDefault="00B265BC">
      <w:pPr>
        <w:jc w:val="both"/>
      </w:pPr>
    </w:p>
    <w:p w14:paraId="218ABAB9" w14:textId="77777777" w:rsidR="00B265B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Cíle, kterých chceme dosáhnout</w:t>
      </w:r>
    </w:p>
    <w:p w14:paraId="622A12D6" w14:textId="77777777" w:rsidR="00B265BC" w:rsidRDefault="00000000">
      <w:pPr>
        <w:spacing w:after="0" w:line="264" w:lineRule="auto"/>
        <w:jc w:val="both"/>
      </w:pPr>
      <w:r>
        <w:t xml:space="preserve">Řešené území tvoří řada funkčně i prostorově oddělených celků, které je třeba v rámci architektonické studie posoudit, v návrhu upřednostnit či potlačit, především vzájemně propojit a vytvořit tak pro Kolovraty charakteristické centrum. Pro širší řešené území toto očekáváme pouze v úrovni koncepční studie. </w:t>
      </w:r>
    </w:p>
    <w:p w14:paraId="03218E76" w14:textId="77777777" w:rsidR="00B265BC" w:rsidRDefault="00B265BC">
      <w:pPr>
        <w:spacing w:after="0" w:line="264" w:lineRule="auto"/>
        <w:jc w:val="both"/>
      </w:pPr>
    </w:p>
    <w:p w14:paraId="3962FBDE" w14:textId="77777777" w:rsidR="00B265BC" w:rsidRDefault="00000000">
      <w:pPr>
        <w:jc w:val="both"/>
      </w:pPr>
      <w:r>
        <w:t xml:space="preserve">Mělo by vzniknout příjemné, ale také funkční, homogenní a praktické centrum, s velkým podílem zeleně, moderní, ale současně respektující vesnický ráz zástavby. Mělo by být bezpečným a lákavým prostorem pro trávení času veřejnosti a pro pořádání kulturních a společenských akcí, se zelení poskytující přirozený stín a příjemné mikroklima. </w:t>
      </w:r>
    </w:p>
    <w:p w14:paraId="25653391" w14:textId="77777777" w:rsidR="00B265BC" w:rsidRDefault="00000000">
      <w:pPr>
        <w:jc w:val="both"/>
      </w:pPr>
      <w:r>
        <w:t xml:space="preserve">Chceme, aby šlo o území atraktivní pro chůzi a pobyt, komfortní pro jízdu na kole a dostupné veřejnou dopravou, dobře prostupné, bezpečné a bezbariérové, zaměřené na lidi, nikoli na vozidla. </w:t>
      </w:r>
    </w:p>
    <w:p w14:paraId="367809D5" w14:textId="77777777" w:rsidR="00B265BC" w:rsidRDefault="00000000">
      <w:pPr>
        <w:jc w:val="both"/>
      </w:pPr>
      <w:r>
        <w:t>Vozidla zde ale své místo také mít musí, a to jak pro průjezd, tak i pro parkování. Maximální povolená rychlost by měla být (alespoň v užším území) snížena, ideálně pomocí některé ze zón. Parkování by nemělo být dominantou a bariérou, ale musí být k dispozici v rámci řešeného území nebo v docházkové vzdálenosti. Parkování má v této lokalitě sloužit zejména uživatelům a klientům provozoven a obdobných prostor, nikoli pro dlouhodobé parkování.</w:t>
      </w:r>
    </w:p>
    <w:p w14:paraId="361E0726" w14:textId="77777777" w:rsidR="00B265BC" w:rsidRDefault="00000000">
      <w:pPr>
        <w:jc w:val="both"/>
      </w:pPr>
      <w:r>
        <w:t xml:space="preserve">Chceme, aby vznikl funkčně propojený celek, v němž se slučují potřeby dopravních prostorů a klidových částí, které budou vzájemně vyváženy. </w:t>
      </w:r>
    </w:p>
    <w:p w14:paraId="3904FD52" w14:textId="77777777" w:rsidR="00B265BC" w:rsidRDefault="00000000">
      <w:pPr>
        <w:jc w:val="both"/>
      </w:pPr>
      <w:r>
        <w:t xml:space="preserve">Předpokládaná cena za realizaci revitalizace užšího území je cca 35 mil. Kč bez DPH (kvalifikovaný odhad). </w:t>
      </w:r>
    </w:p>
    <w:p w14:paraId="0F76F554" w14:textId="77777777" w:rsidR="00B265B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b/>
          <w:color w:val="000000"/>
        </w:rPr>
        <w:t xml:space="preserve"> Požadavky na zpracování díla:</w:t>
      </w:r>
    </w:p>
    <w:p w14:paraId="61AE5661" w14:textId="77777777" w:rsidR="00B265BC" w:rsidRDefault="00B265B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7834B049" w14:textId="77777777" w:rsidR="00B265BC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Dílo musí být provedeno v souladu:</w:t>
      </w:r>
    </w:p>
    <w:p w14:paraId="185BD3B0" w14:textId="77777777" w:rsidR="00B265BC" w:rsidRDefault="00000000">
      <w:pPr>
        <w:numPr>
          <w:ilvl w:val="1"/>
          <w:numId w:val="2"/>
        </w:numPr>
        <w:jc w:val="both"/>
      </w:pPr>
      <w:r>
        <w:t>s veškerými podmínkami 65. výzvy IROP,</w:t>
      </w:r>
    </w:p>
    <w:p w14:paraId="15D4C176" w14:textId="77777777" w:rsidR="00B265BC" w:rsidRDefault="00000000">
      <w:pPr>
        <w:numPr>
          <w:ilvl w:val="1"/>
          <w:numId w:val="3"/>
        </w:numPr>
        <w:jc w:val="both"/>
      </w:pPr>
      <w:r>
        <w:t>s cíli a zásadami udržitelného rozvoje a zásadou „významně nepoškozovat“ v oblasti životního prostředí, </w:t>
      </w:r>
    </w:p>
    <w:p w14:paraId="1E0E7A07" w14:textId="77777777" w:rsidR="00B265BC" w:rsidRDefault="00000000">
      <w:pPr>
        <w:numPr>
          <w:ilvl w:val="1"/>
          <w:numId w:val="4"/>
        </w:numPr>
        <w:jc w:val="both"/>
      </w:pPr>
      <w:r>
        <w:t>se strategickými dokumenty:</w:t>
      </w:r>
    </w:p>
    <w:p w14:paraId="2C6C0DD3" w14:textId="77777777" w:rsidR="00B265BC" w:rsidRDefault="00000000">
      <w:pPr>
        <w:numPr>
          <w:ilvl w:val="2"/>
          <w:numId w:val="5"/>
        </w:numPr>
        <w:spacing w:after="0" w:line="240" w:lineRule="auto"/>
        <w:ind w:left="2154" w:hanging="357"/>
        <w:jc w:val="both"/>
      </w:pPr>
      <w:r>
        <w:t xml:space="preserve">Strategie a Standardy aktivní </w:t>
      </w:r>
      <w:proofErr w:type="gramStart"/>
      <w:r>
        <w:t>mobility  a</w:t>
      </w:r>
      <w:proofErr w:type="gramEnd"/>
      <w:r>
        <w:t xml:space="preserve"> </w:t>
      </w:r>
    </w:p>
    <w:p w14:paraId="485B22BB" w14:textId="77777777" w:rsidR="00B265BC" w:rsidRDefault="00000000">
      <w:pPr>
        <w:numPr>
          <w:ilvl w:val="2"/>
          <w:numId w:val="6"/>
        </w:numPr>
        <w:spacing w:after="0" w:line="240" w:lineRule="auto"/>
        <w:ind w:left="2154" w:hanging="357"/>
        <w:jc w:val="both"/>
      </w:pPr>
      <w:r>
        <w:t xml:space="preserve">Manuál tvorby veřejného prostranství: </w:t>
      </w:r>
    </w:p>
    <w:p w14:paraId="6B5039EC" w14:textId="77777777" w:rsidR="00B265BC" w:rsidRDefault="00000000">
      <w:pPr>
        <w:numPr>
          <w:ilvl w:val="2"/>
          <w:numId w:val="7"/>
        </w:numPr>
        <w:spacing w:after="0" w:line="240" w:lineRule="auto"/>
        <w:ind w:left="2154" w:hanging="357"/>
        <w:jc w:val="both"/>
      </w:pPr>
      <w:r>
        <w:t xml:space="preserve">Katalog doporučených prvků IPR Praha </w:t>
      </w:r>
    </w:p>
    <w:p w14:paraId="7FCAF257" w14:textId="77777777" w:rsidR="00B265BC" w:rsidRDefault="00000000">
      <w:pPr>
        <w:numPr>
          <w:ilvl w:val="2"/>
          <w:numId w:val="8"/>
        </w:numPr>
        <w:spacing w:line="240" w:lineRule="auto"/>
        <w:ind w:left="2154" w:hanging="357"/>
        <w:jc w:val="both"/>
      </w:pPr>
      <w:r>
        <w:t xml:space="preserve">Standard zastávek PID </w:t>
      </w:r>
    </w:p>
    <w:p w14:paraId="27BFEB1E" w14:textId="77777777" w:rsidR="00B265BC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Dílo musí respektovat:</w:t>
      </w:r>
    </w:p>
    <w:p w14:paraId="08ABACF4" w14:textId="77777777" w:rsidR="00B265BC" w:rsidRDefault="00000000">
      <w:pPr>
        <w:numPr>
          <w:ilvl w:val="1"/>
          <w:numId w:val="10"/>
        </w:numPr>
        <w:jc w:val="both"/>
      </w:pPr>
      <w:r>
        <w:t>principy zelené infrastruktury, zejména v maximální možné míře navrhne opatření zohledňující principy HDV (hospodaření s dešťovými vodami) úpravu/výměnu nevhodných povrchů za povrchy umožňující vsakování a čištění srážkové vody, popř. navrhne zasakovací, retenční nebo akumulační objekty. (Dle mapy vhodnosti pro vsakování /Atlas životního prostředí – IPR Praha/ je oblast nevhodná pro vsakování.) </w:t>
      </w:r>
    </w:p>
    <w:p w14:paraId="3D16B1F5" w14:textId="77777777" w:rsidR="00B265BC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Dílo bude řešit:</w:t>
      </w:r>
    </w:p>
    <w:p w14:paraId="2AB5C904" w14:textId="77777777" w:rsidR="00B265BC" w:rsidRDefault="00000000">
      <w:pPr>
        <w:numPr>
          <w:ilvl w:val="1"/>
          <w:numId w:val="11"/>
        </w:numPr>
        <w:jc w:val="both"/>
      </w:pPr>
      <w:r>
        <w:t>Revitalizaci zeleně a ozelenění veřejných prostranství s ohledem na biodiverzitu a související opatření, nezbytné pro rozvoj a zlepšení kvality ekosystémových služeb. Vítaná jsou opatření ke zkvalitnění ovzduší a snižování hluku.</w:t>
      </w:r>
    </w:p>
    <w:p w14:paraId="1AED5D19" w14:textId="77777777" w:rsidR="00B265BC" w:rsidRDefault="00000000">
      <w:pPr>
        <w:numPr>
          <w:ilvl w:val="1"/>
          <w:numId w:val="12"/>
        </w:numPr>
        <w:jc w:val="both"/>
      </w:pPr>
      <w:r>
        <w:t>Optimalizaci zpevněných ploch (mj. jejich prostupnost, nezbytnost, polohu, velikost). Jedná se např. o parkovací stání, příjezdové komunikace k nemovitostem, vjezdy atd. Odůvodněná změna polohy je možná.</w:t>
      </w:r>
    </w:p>
    <w:p w14:paraId="1F1935DE" w14:textId="77777777" w:rsidR="00B265BC" w:rsidRDefault="00000000">
      <w:pPr>
        <w:numPr>
          <w:ilvl w:val="1"/>
          <w:numId w:val="12"/>
        </w:numPr>
        <w:jc w:val="both"/>
      </w:pPr>
      <w:r>
        <w:t>Sjednocení prvků veřejného osvětlení, přičemž prověří možnost využití solárního osvětlení.</w:t>
      </w:r>
    </w:p>
    <w:p w14:paraId="25343874" w14:textId="77777777" w:rsidR="00B265BC" w:rsidRDefault="00000000">
      <w:pPr>
        <w:numPr>
          <w:ilvl w:val="1"/>
          <w:numId w:val="12"/>
        </w:numPr>
        <w:jc w:val="both"/>
      </w:pPr>
      <w:r>
        <w:t>Přeložení nadzemního vedení, projekční práce zkoordinuje.</w:t>
      </w:r>
    </w:p>
    <w:p w14:paraId="5F667376" w14:textId="77777777" w:rsidR="00B265BC" w:rsidRDefault="00000000">
      <w:pPr>
        <w:numPr>
          <w:ilvl w:val="1"/>
          <w:numId w:val="12"/>
        </w:numPr>
        <w:jc w:val="both"/>
      </w:pPr>
      <w:r>
        <w:t>Umístění mobiliáře do veřejného prostoru – lavičky, odpadkové koše, cyklostojany, informační tabule, autobusové zastávky. Prověří možnost použití zelených střech a solární energie.</w:t>
      </w:r>
    </w:p>
    <w:p w14:paraId="78684DFB" w14:textId="77777777" w:rsidR="00B265BC" w:rsidRDefault="00000000">
      <w:pPr>
        <w:numPr>
          <w:ilvl w:val="1"/>
          <w:numId w:val="12"/>
        </w:numPr>
        <w:jc w:val="both"/>
      </w:pPr>
      <w:r>
        <w:t>Umístění vodních prvků a/nebo uměleckých děl či jiných architektonických prvků.</w:t>
      </w:r>
    </w:p>
    <w:p w14:paraId="54848766" w14:textId="77777777" w:rsidR="00B265BC" w:rsidRDefault="00000000">
      <w:pPr>
        <w:numPr>
          <w:ilvl w:val="1"/>
          <w:numId w:val="12"/>
        </w:numPr>
        <w:spacing w:after="0" w:line="259" w:lineRule="auto"/>
        <w:jc w:val="both"/>
        <w:rPr>
          <w:rFonts w:ascii="Calibri" w:eastAsia="Calibri" w:hAnsi="Calibri" w:cs="Calibri"/>
          <w:sz w:val="22"/>
          <w:szCs w:val="22"/>
        </w:rPr>
      </w:pPr>
      <w:r>
        <w:t xml:space="preserve">Veřejný prostor s ohledem na možnost propojení s aktivitami místní školy a dalších subjektů sousedících s řešeným územím (Dům dětí a mládeže, hostinec, komunitní centrum, knihovna s infocentrem, komerční prostory). </w:t>
      </w:r>
    </w:p>
    <w:p w14:paraId="7B4B3F93" w14:textId="77777777" w:rsidR="00B265BC" w:rsidRDefault="00B265BC">
      <w:pPr>
        <w:spacing w:after="0" w:line="259" w:lineRule="auto"/>
        <w:ind w:left="1440"/>
        <w:jc w:val="both"/>
      </w:pPr>
    </w:p>
    <w:p w14:paraId="10D2DD58" w14:textId="77777777" w:rsidR="00B265BC" w:rsidRDefault="00000000">
      <w:pPr>
        <w:spacing w:after="0" w:line="259" w:lineRule="auto"/>
        <w:jc w:val="both"/>
      </w:pPr>
      <w:r>
        <w:t>5.4 Dílo zohlední názory veřejnosti, získané během participace z 2023/24.</w:t>
      </w:r>
    </w:p>
    <w:p w14:paraId="04824506" w14:textId="77777777" w:rsidR="00B265BC" w:rsidRDefault="00B265BC">
      <w:pPr>
        <w:jc w:val="both"/>
      </w:pPr>
    </w:p>
    <w:p w14:paraId="149EB8AC" w14:textId="77777777" w:rsidR="00B265BC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Instituce a subjekty, které musí být zahrnuty do průběžných jednání o území:</w:t>
      </w:r>
    </w:p>
    <w:p w14:paraId="281F4885" w14:textId="77777777" w:rsidR="00B265BC" w:rsidRDefault="00000000">
      <w:pPr>
        <w:numPr>
          <w:ilvl w:val="0"/>
          <w:numId w:val="13"/>
        </w:numPr>
        <w:jc w:val="both"/>
      </w:pPr>
      <w:r>
        <w:t>IPR PRAHA – Institut plánování a rozvoje</w:t>
      </w:r>
    </w:p>
    <w:p w14:paraId="532DEC55" w14:textId="77777777" w:rsidR="00B265BC" w:rsidRDefault="00000000">
      <w:pPr>
        <w:numPr>
          <w:ilvl w:val="0"/>
          <w:numId w:val="13"/>
        </w:numPr>
        <w:jc w:val="both"/>
      </w:pPr>
      <w:r>
        <w:t>MHMP ODO – Magistrát hlavního města Prahy, odbor dopravy</w:t>
      </w:r>
    </w:p>
    <w:p w14:paraId="23D066CD" w14:textId="77777777" w:rsidR="00B265BC" w:rsidRDefault="00000000">
      <w:pPr>
        <w:numPr>
          <w:ilvl w:val="0"/>
          <w:numId w:val="13"/>
        </w:numPr>
        <w:jc w:val="both"/>
      </w:pPr>
      <w:r>
        <w:t>TSK hl. m. Prahy – Technická správa komunikací</w:t>
      </w:r>
    </w:p>
    <w:p w14:paraId="0D048BDC" w14:textId="77777777" w:rsidR="00B265BC" w:rsidRDefault="00000000">
      <w:pPr>
        <w:numPr>
          <w:ilvl w:val="0"/>
          <w:numId w:val="13"/>
        </w:numPr>
        <w:jc w:val="both"/>
      </w:pPr>
      <w:r>
        <w:t>ROPID – Pražská integrovaná doprava</w:t>
      </w:r>
    </w:p>
    <w:p w14:paraId="0276320B" w14:textId="77777777" w:rsidR="00B265BC" w:rsidRDefault="00000000">
      <w:pPr>
        <w:numPr>
          <w:ilvl w:val="0"/>
          <w:numId w:val="13"/>
        </w:numPr>
        <w:jc w:val="both"/>
      </w:pPr>
      <w:r>
        <w:t>THMP – Technologie hlavního města Prahy </w:t>
      </w:r>
    </w:p>
    <w:p w14:paraId="0B6A8F8A" w14:textId="77777777" w:rsidR="00B265BC" w:rsidRDefault="00000000">
      <w:pPr>
        <w:numPr>
          <w:ilvl w:val="0"/>
          <w:numId w:val="13"/>
        </w:numPr>
        <w:jc w:val="both"/>
      </w:pPr>
      <w:r>
        <w:t>PČR – Policie České republiky</w:t>
      </w:r>
    </w:p>
    <w:p w14:paraId="121155D0" w14:textId="77777777" w:rsidR="00B265BC" w:rsidRDefault="00000000">
      <w:pPr>
        <w:numPr>
          <w:ilvl w:val="0"/>
          <w:numId w:val="13"/>
        </w:numPr>
        <w:jc w:val="both"/>
      </w:pPr>
      <w:r>
        <w:t>odbor dopravy Úřadu městské části Praha 22</w:t>
      </w:r>
    </w:p>
    <w:p w14:paraId="3E15CB45" w14:textId="77777777" w:rsidR="00B265BC" w:rsidRDefault="00000000">
      <w:pPr>
        <w:numPr>
          <w:ilvl w:val="0"/>
          <w:numId w:val="13"/>
        </w:numPr>
        <w:jc w:val="both"/>
      </w:pPr>
      <w:r>
        <w:t>vlastníci dotčených nemovitých věcí</w:t>
      </w:r>
    </w:p>
    <w:p w14:paraId="6523E1EE" w14:textId="77777777" w:rsidR="00B265BC" w:rsidRDefault="00B265BC">
      <w:pPr>
        <w:jc w:val="both"/>
      </w:pPr>
    </w:p>
    <w:p w14:paraId="2C9F511D" w14:textId="77777777" w:rsidR="00B265BC" w:rsidRDefault="00000000">
      <w:pPr>
        <w:jc w:val="both"/>
      </w:pPr>
      <w:r>
        <w:t>Grafické vymezení území:</w:t>
      </w:r>
    </w:p>
    <w:p w14:paraId="76F77D5B" w14:textId="77777777" w:rsidR="00B265BC" w:rsidRDefault="00B265BC">
      <w:pPr>
        <w:jc w:val="both"/>
      </w:pPr>
    </w:p>
    <w:p w14:paraId="0F90F244" w14:textId="77777777" w:rsidR="00B265BC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ŠIRŠÍ ŘEŠENÉ ÚZEMÍ – MAJETKOPRÁVNÍ VZTAHY</w:t>
      </w:r>
    </w:p>
    <w:p w14:paraId="46AAC4E3" w14:textId="77777777" w:rsidR="00B265BC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930D29A" wp14:editId="210C268E">
            <wp:extent cx="5760410" cy="39878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l="11107" t="11243" r="4365" b="5919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501C6C" w14:textId="77777777" w:rsidR="00B265BC" w:rsidRDefault="00000000">
      <w:pPr>
        <w:spacing w:line="240" w:lineRule="auto"/>
        <w:ind w:left="141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A2FC96F" wp14:editId="464F9BD6">
            <wp:extent cx="216754" cy="149019"/>
            <wp:effectExtent l="0" t="0" r="0" b="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l="26208" t="69919" r="70212" b="26600"/>
                    <a:stretch>
                      <a:fillRect/>
                    </a:stretch>
                  </pic:blipFill>
                  <pic:spPr>
                    <a:xfrm>
                      <a:off x="0" y="0"/>
                      <a:ext cx="216754" cy="149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z w:val="16"/>
          <w:szCs w:val="16"/>
        </w:rPr>
        <w:t>POZEMKY V MAJETKU HL.M.PRAHA A VE SVĚŘENÉ SPRÁVĚ MČ PRAHA KOLOVRATY</w:t>
      </w:r>
    </w:p>
    <w:p w14:paraId="3C5F1A8D" w14:textId="77777777" w:rsidR="00B265BC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UŽŠÍ ŘEŠENÉ ÚZEMÍ – MAJETKOPRÁVNÍ VZTAHY</w:t>
      </w:r>
    </w:p>
    <w:p w14:paraId="278A595B" w14:textId="77777777" w:rsidR="00B265BC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71A4BE3" wp14:editId="46DE39ED">
            <wp:extent cx="5760410" cy="3987800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11457" t="11409" r="4482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92D280" w14:textId="77777777" w:rsidR="00B265BC" w:rsidRDefault="00000000">
      <w:pPr>
        <w:spacing w:line="240" w:lineRule="auto"/>
        <w:ind w:left="141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66119AE" wp14:editId="66230738">
            <wp:extent cx="216754" cy="149019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l="26208" t="69919" r="70212" b="26600"/>
                    <a:stretch>
                      <a:fillRect/>
                    </a:stretch>
                  </pic:blipFill>
                  <pic:spPr>
                    <a:xfrm>
                      <a:off x="0" y="0"/>
                      <a:ext cx="216754" cy="149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z w:val="16"/>
          <w:szCs w:val="16"/>
        </w:rPr>
        <w:t>POZEMKY V MAJETKU HL.M.PRAHA A VE SVĚŘENÉ SPRÁVĚ MČ PRAHA KOLOVRATY</w:t>
      </w:r>
    </w:p>
    <w:p w14:paraId="78A23530" w14:textId="77777777" w:rsidR="00B265BC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UŽŠÍ A ŠIRŠÍ ŘEŠENÉ ÚZEMÍ – MAJETKOPRÁVNÍ VZTAHY</w:t>
      </w:r>
    </w:p>
    <w:p w14:paraId="01DF7797" w14:textId="77777777" w:rsidR="00B265BC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8D8D578" wp14:editId="61824C89">
            <wp:extent cx="5760410" cy="4000500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l="11224" t="10913" r="4365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FB9253" w14:textId="77777777" w:rsidR="00B265BC" w:rsidRDefault="00000000">
      <w:pPr>
        <w:spacing w:line="240" w:lineRule="auto"/>
        <w:ind w:left="141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EBF0BD8" wp14:editId="623642C5">
            <wp:extent cx="216754" cy="149019"/>
            <wp:effectExtent l="0" t="0" r="0" b="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l="26208" t="69919" r="70212" b="26600"/>
                    <a:stretch>
                      <a:fillRect/>
                    </a:stretch>
                  </pic:blipFill>
                  <pic:spPr>
                    <a:xfrm>
                      <a:off x="0" y="0"/>
                      <a:ext cx="216754" cy="149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z w:val="16"/>
          <w:szCs w:val="16"/>
        </w:rPr>
        <w:t>POZEMKY V MAJETKU HL.M.PRAHA A VE SVĚŘENÉ SPRÁVĚ MČ PRAHA KOLOVRATY</w:t>
      </w:r>
    </w:p>
    <w:p w14:paraId="72297C61" w14:textId="77777777" w:rsidR="00B265BC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ORTOFOTOMAPA S VYZNAČENÍM UŽŠÍHO A ŠIRŠÍHO ŘEŠENÉHO ÚZEMÍ </w:t>
      </w:r>
    </w:p>
    <w:p w14:paraId="3C957A51" w14:textId="77777777" w:rsidR="00B265BC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6AC6F95" wp14:editId="3041962D">
            <wp:extent cx="5760410" cy="39878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l="11107" t="10913" r="4248" b="6251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82509D" w14:textId="77777777" w:rsidR="00B265BC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ORTOFOTOMAPA S VYZNAČENÍM UŽŠÍHO ŘEŠENÉHO ÚZEMÍ </w:t>
      </w:r>
    </w:p>
    <w:p w14:paraId="1B5B730D" w14:textId="77777777" w:rsidR="00B265BC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F2AF72A" wp14:editId="0E58F6A7">
            <wp:extent cx="5760410" cy="3987800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l="11107" t="10748" r="4131" b="6249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596F4C" w14:textId="77777777" w:rsidR="00B265BC" w:rsidRDefault="00B265BC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14:paraId="680F8B93" w14:textId="77777777" w:rsidR="00B265BC" w:rsidRDefault="00B265BC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14:paraId="376A85DB" w14:textId="77777777" w:rsidR="00B265BC" w:rsidRDefault="00B265BC">
      <w:pPr>
        <w:spacing w:line="240" w:lineRule="auto"/>
        <w:rPr>
          <w:rFonts w:ascii="Arial" w:eastAsia="Arial" w:hAnsi="Arial" w:cs="Arial"/>
        </w:rPr>
      </w:pPr>
    </w:p>
    <w:p w14:paraId="0C9DFB47" w14:textId="77777777" w:rsidR="00B265BC" w:rsidRDefault="00B265BC">
      <w:pPr>
        <w:spacing w:line="259" w:lineRule="auto"/>
        <w:rPr>
          <w:rFonts w:ascii="Calibri" w:eastAsia="Calibri" w:hAnsi="Calibri" w:cs="Calibri"/>
          <w:sz w:val="22"/>
          <w:szCs w:val="22"/>
        </w:rPr>
      </w:pPr>
    </w:p>
    <w:p w14:paraId="23BD88AB" w14:textId="77777777" w:rsidR="00B265BC" w:rsidRDefault="00B265BC">
      <w:pPr>
        <w:jc w:val="both"/>
      </w:pPr>
    </w:p>
    <w:sectPr w:rsidR="00B265B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8614B761-53CB-4DA9-A81D-DC0042F0C0E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26B7311-62D9-4495-A6FE-DBA0A4F3F349}"/>
    <w:embedBold r:id="rId3" w:fontKey="{3ACEF2CF-D9EF-4C82-B9D8-C83EDC37B675}"/>
    <w:embedItalic r:id="rId4" w:fontKey="{1F612D11-F521-494F-813A-2BBF5FD1DC9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6681173-2F43-47CF-8C99-9744F07E7D0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ECBF6EF-5790-4E09-9A96-ECB5B0AB0E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B6319"/>
    <w:multiLevelType w:val="multilevel"/>
    <w:tmpl w:val="F1C8464C"/>
    <w:lvl w:ilvl="0">
      <w:start w:val="4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480AE2"/>
    <w:multiLevelType w:val="multilevel"/>
    <w:tmpl w:val="76760F22"/>
    <w:lvl w:ilvl="0">
      <w:start w:val="3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48904C5"/>
    <w:multiLevelType w:val="multilevel"/>
    <w:tmpl w:val="59FA49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72E67B8"/>
    <w:multiLevelType w:val="multilevel"/>
    <w:tmpl w:val="B3A8B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96D243B"/>
    <w:multiLevelType w:val="multilevel"/>
    <w:tmpl w:val="45088F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4184503"/>
    <w:multiLevelType w:val="multilevel"/>
    <w:tmpl w:val="AD9A79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6C028DE"/>
    <w:multiLevelType w:val="multilevel"/>
    <w:tmpl w:val="0520E8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7E61098"/>
    <w:multiLevelType w:val="multilevel"/>
    <w:tmpl w:val="B972EC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04D6072"/>
    <w:multiLevelType w:val="multilevel"/>
    <w:tmpl w:val="8D8CDD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56A833EB"/>
    <w:multiLevelType w:val="multilevel"/>
    <w:tmpl w:val="F5EAC6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7576454"/>
    <w:multiLevelType w:val="multilevel"/>
    <w:tmpl w:val="8C94A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9EC6EF6"/>
    <w:multiLevelType w:val="multilevel"/>
    <w:tmpl w:val="24A06A2C"/>
    <w:lvl w:ilvl="0">
      <w:start w:val="2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678357EE"/>
    <w:multiLevelType w:val="multilevel"/>
    <w:tmpl w:val="1C0A1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6F8B7D0A"/>
    <w:multiLevelType w:val="multilevel"/>
    <w:tmpl w:val="78A848AC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4" w15:restartNumberingAfterBreak="0">
    <w:nsid w:val="72840792"/>
    <w:multiLevelType w:val="multilevel"/>
    <w:tmpl w:val="23DC20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A544999"/>
    <w:multiLevelType w:val="multilevel"/>
    <w:tmpl w:val="49CED7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6" w15:restartNumberingAfterBreak="0">
    <w:nsid w:val="7F41474D"/>
    <w:multiLevelType w:val="multilevel"/>
    <w:tmpl w:val="0B5E638A"/>
    <w:lvl w:ilvl="0"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949707262">
    <w:abstractNumId w:val="16"/>
  </w:num>
  <w:num w:numId="2" w16cid:durableId="1197082411">
    <w:abstractNumId w:val="7"/>
  </w:num>
  <w:num w:numId="3" w16cid:durableId="1194225052">
    <w:abstractNumId w:val="10"/>
  </w:num>
  <w:num w:numId="4" w16cid:durableId="1630017349">
    <w:abstractNumId w:val="3"/>
  </w:num>
  <w:num w:numId="5" w16cid:durableId="1036731660">
    <w:abstractNumId w:val="5"/>
  </w:num>
  <w:num w:numId="6" w16cid:durableId="320430521">
    <w:abstractNumId w:val="8"/>
  </w:num>
  <w:num w:numId="7" w16cid:durableId="1460299378">
    <w:abstractNumId w:val="4"/>
  </w:num>
  <w:num w:numId="8" w16cid:durableId="6635215">
    <w:abstractNumId w:val="9"/>
  </w:num>
  <w:num w:numId="9" w16cid:durableId="1251965620">
    <w:abstractNumId w:val="11"/>
  </w:num>
  <w:num w:numId="10" w16cid:durableId="613054935">
    <w:abstractNumId w:val="14"/>
  </w:num>
  <w:num w:numId="11" w16cid:durableId="1384408587">
    <w:abstractNumId w:val="6"/>
  </w:num>
  <w:num w:numId="12" w16cid:durableId="695228744">
    <w:abstractNumId w:val="12"/>
  </w:num>
  <w:num w:numId="13" w16cid:durableId="1996572217">
    <w:abstractNumId w:val="2"/>
  </w:num>
  <w:num w:numId="14" w16cid:durableId="1276593060">
    <w:abstractNumId w:val="15"/>
  </w:num>
  <w:num w:numId="15" w16cid:durableId="836921326">
    <w:abstractNumId w:val="13"/>
  </w:num>
  <w:num w:numId="16" w16cid:durableId="513150754">
    <w:abstractNumId w:val="1"/>
  </w:num>
  <w:num w:numId="17" w16cid:durableId="2823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5BC"/>
    <w:rsid w:val="00AE2ABE"/>
    <w:rsid w:val="00B265BC"/>
    <w:rsid w:val="00D2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2711F"/>
  <w15:docId w15:val="{BF11BAAE-67DE-4CFA-A287-808085A3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A31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A31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A31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A31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A31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A31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A31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A31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A31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DA31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DA31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A31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A31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A310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A310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A310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A310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A310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A310D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DA31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A31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A31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A310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A310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A310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A31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A310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A310D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DA310D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A3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dtOSL8tWH5AqtgGjrmZ14c6Jog==">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1527</Words>
  <Characters>9012</Characters>
  <Application>Microsoft Office Word</Application>
  <DocSecurity>0</DocSecurity>
  <Lines>75</Lines>
  <Paragraphs>21</Paragraphs>
  <ScaleCrop>false</ScaleCrop>
  <Company/>
  <LinksUpToDate>false</LinksUpToDate>
  <CharactersWithSpaces>10518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Kohoutová</dc:creator>
  <cp:lastModifiedBy>Ivana VRBOVÁ</cp:lastModifiedBy>
  <cp:revision>2</cp:revision>
  <dcterms:created xsi:type="dcterms:W3CDTF">2024-11-26T20:55:00Z</dcterms:created>
  <dcterms:modified xsi:type="dcterms:W3CDTF">2024-11-26T20:55:00Z</dcterms:modified>
</cp:coreProperties>
</file>