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0"/>
        <w:pBdr/>
        <w:shd w:val="clear" w:color="auto" w:fill="eeece1" w:themeFill="background2"/>
        <w:spacing w:after="120" w:before="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– EKONOMICKÁ KVALIFIKACE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0"/>
        <w:widowControl w:val="false"/>
        <w:pBdr/>
        <w:spacing w:after="120" w:before="0" w:line="240" w:lineRule="exact"/>
        <w:ind/>
        <w:rPr>
          <w:sz w:val="22"/>
          <w:szCs w:val="22"/>
          <w:lang w:eastAsia="en-US"/>
        </w:rPr>
      </w:pPr>
      <w:r>
        <w:rPr>
          <w:sz w:val="20"/>
          <w:szCs w:val="20"/>
        </w:rPr>
        <w:br/>
      </w:r>
      <w:r>
        <w:rPr>
          <w:sz w:val="22"/>
          <w:szCs w:val="22"/>
          <w:lang w:eastAsia="en-US"/>
        </w:rPr>
        <w:t xml:space="preserve">Účastník zadávacího řízení: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tbl>
      <w:tblPr>
        <w:tblW w:w="5000" w:type="pct"/>
        <w:jc w:val="center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35"/>
        <w:gridCol w:w="6436"/>
      </w:tblGrid>
      <w:tr>
        <w:trPr>
          <w:trHeight w:val="379"/>
        </w:trPr>
        <w:tc>
          <w:tcPr>
            <w:shd w:val="clear" w:color="auto" w:fill="bfbfbf" w:themeFill="background1" w:themeFillShade="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5" w:type="dxa"/>
            <w:vAlign w:val="center"/>
            <w:textDirection w:val="lrTb"/>
            <w:noWrap w:val="false"/>
          </w:tcPr>
          <w:p>
            <w:pPr>
              <w:pStyle w:val="910"/>
              <w:pBdr/>
              <w:spacing w:after="120" w:before="0"/>
              <w:ind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NÁZEV, FIRMA: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6" w:type="dxa"/>
            <w:vAlign w:val="center"/>
            <w:textDirection w:val="lrTb"/>
            <w:noWrap w:val="false"/>
          </w:tcPr>
          <w:p>
            <w:pPr>
              <w:pStyle w:val="910"/>
              <w:pBdr/>
              <w:spacing w:after="120" w:before="0"/>
              <w: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79"/>
        </w:trPr>
        <w:tc>
          <w:tcPr>
            <w:shd w:val="clear" w:color="auto" w:fill="bfbfbf" w:themeFill="background1" w:themeFillShade="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5" w:type="dxa"/>
            <w:vAlign w:val="center"/>
            <w:textDirection w:val="lrTb"/>
            <w:noWrap w:val="false"/>
          </w:tcPr>
          <w:p>
            <w:pPr>
              <w:pStyle w:val="910"/>
              <w:pBdr/>
              <w:spacing w:after="120" w:before="0"/>
              <w:ind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SÍDLO: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6" w:type="dxa"/>
            <w:vAlign w:val="center"/>
            <w:textDirection w:val="lrTb"/>
            <w:noWrap w:val="false"/>
          </w:tcPr>
          <w:p>
            <w:pPr>
              <w:pStyle w:val="910"/>
              <w:pBdr/>
              <w:spacing w:after="120" w:before="0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79"/>
        </w:trPr>
        <w:tc>
          <w:tcPr>
            <w:shd w:val="clear" w:color="auto" w:fill="bfbfbf" w:themeFill="background1" w:themeFillShade="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5" w:type="dxa"/>
            <w:vAlign w:val="center"/>
            <w:textDirection w:val="lrTb"/>
            <w:noWrap w:val="false"/>
          </w:tcPr>
          <w:p>
            <w:pPr>
              <w:pStyle w:val="910"/>
              <w:pBdr/>
              <w:spacing w:after="120" w:before="0"/>
              <w:ind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ZASTOUPEN/JEDNAJÍCÍ: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6" w:type="dxa"/>
            <w:vAlign w:val="center"/>
            <w:textDirection w:val="lrTb"/>
            <w:noWrap w:val="false"/>
          </w:tcPr>
          <w:p>
            <w:pPr>
              <w:pStyle w:val="910"/>
              <w:pBdr/>
              <w:spacing w:after="120" w:before="0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79"/>
        </w:trPr>
        <w:tc>
          <w:tcPr>
            <w:shd w:val="clear" w:color="auto" w:fill="bfbfbf" w:themeFill="background1" w:themeFillShade="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5" w:type="dxa"/>
            <w:vAlign w:val="center"/>
            <w:textDirection w:val="lrTb"/>
            <w:noWrap w:val="false"/>
          </w:tcPr>
          <w:p>
            <w:pPr>
              <w:pStyle w:val="910"/>
              <w:pBdr/>
              <w:spacing w:after="120" w:before="0"/>
              <w:ind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IČO: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6" w:type="dxa"/>
            <w:vAlign w:val="center"/>
            <w:textDirection w:val="lrTb"/>
            <w:noWrap w:val="false"/>
          </w:tcPr>
          <w:p>
            <w:pPr>
              <w:pStyle w:val="910"/>
              <w:pBdr/>
              <w:spacing w:after="120" w:before="0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910"/>
        <w:pBdr/>
        <w:tabs>
          <w:tab w:val="clear" w:leader="none" w:pos="708"/>
          <w:tab w:val="left" w:leader="none" w:pos="1701"/>
        </w:tabs>
        <w:spacing w:after="120" w:before="0" w:line="336" w:lineRule="auto"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pBdr/>
        <w:spacing w:after="120" w:before="0" w:line="288" w:lineRule="auto"/>
        <w:ind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10"/>
        <w:pBdr/>
        <w:spacing w:after="120" w:before="0" w:line="288" w:lineRule="auto"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souvislosti s nadlimitní veřejnou zakázkou na dodávky s názvem „</w:t>
      </w:r>
      <w:bookmarkStart w:id="0" w:name="_Hlk165375096"/>
      <w:r>
        <w:rPr>
          <w:b/>
          <w:bCs/>
          <w:color w:val="000000"/>
          <w:sz w:val="22"/>
          <w:szCs w:val="22"/>
          <w:lang w:eastAsia="en-US"/>
        </w:rPr>
        <w:t xml:space="preserve">FVE TZMT II</w:t>
      </w:r>
      <w:r>
        <w:rPr>
          <w:b/>
          <w:bCs/>
          <w:color w:val="000000"/>
          <w:sz w:val="22"/>
          <w:szCs w:val="22"/>
          <w:lang w:eastAsia="en-US"/>
        </w:rPr>
      </w:r>
      <w:bookmarkEnd w:id="0"/>
      <w:r>
        <w:rPr>
          <w:sz w:val="22"/>
          <w:szCs w:val="22"/>
        </w:rPr>
        <w:t xml:space="preserve">“, zadavatele </w:t>
      </w:r>
      <w:r>
        <w:rPr>
          <w:b/>
          <w:bCs/>
          <w:sz w:val="22"/>
          <w:szCs w:val="22"/>
        </w:rPr>
        <w:t xml:space="preserve">Město Velešín, sídlem Václava Soumara 2300, 390 03 Tábor, IČO: 25171127</w:t>
      </w:r>
      <w:r>
        <w:rPr>
          <w:sz w:val="22"/>
          <w:szCs w:val="22"/>
        </w:rPr>
        <w:t xml:space="preserve">zadávané podle § 56 a násl. zákona č. 134/2016 Sb., o zadávání veřejných zakázek (dále jen „ZZVZ“)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0"/>
        <w:pBdr/>
        <w:spacing w:after="120" w:before="0" w:line="288" w:lineRule="auto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0"/>
        <w:pBdr/>
        <w:spacing w:after="120" w:before="0" w:line="288" w:lineRule="auto"/>
        <w: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tímto čestně prohlašuje, že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10"/>
        <w:pBdr/>
        <w:spacing w:after="120" w:before="0" w:line="288" w:lineRule="auto"/>
        <w:ind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pStyle w:val="910"/>
        <w:pBdr/>
        <w:spacing w:after="120" w:before="0" w:line="288" w:lineRule="auto"/>
        <w:ind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splňuje požadavky na prokázání ekonomické kvalifika</w:t>
      </w:r>
      <w:r>
        <w:rPr>
          <w:b/>
          <w:bCs/>
          <w:sz w:val="22"/>
          <w:szCs w:val="22"/>
        </w:rPr>
        <w:t xml:space="preserve">ce k plnění uvedené veřejné zakázky podle čl. 4.5. zadávacích podmínek a § 78 ZZVZ, když celkový roční obrat dodavatele, zjištěný podle zvláštních právních předpisů, nečinil v žádném z bezprostředně předcházejících dvou uzavřených účetních období méně než </w:t>
      </w:r>
      <w:r>
        <w:rPr>
          <w:b/>
          <w:bCs/>
          <w:sz w:val="22"/>
          <w:szCs w:val="22"/>
          <w:shd w:val="clear" w:color="auto" w:fill="auto"/>
        </w:rPr>
        <w:t xml:space="preserve">20 000 000</w:t>
      </w:r>
      <w:r>
        <w:rPr>
          <w:b/>
          <w:bCs/>
          <w:sz w:val="22"/>
          <w:szCs w:val="22"/>
          <w:shd w:val="clear" w:color="auto" w:fill="auto"/>
        </w:rPr>
        <w:t xml:space="preserve"> Kč</w:t>
      </w:r>
      <w:r>
        <w:rPr>
          <w:b/>
          <w:bCs/>
          <w:sz w:val="22"/>
          <w:szCs w:val="22"/>
        </w:rPr>
        <w:t xml:space="preserve"> bez DPH;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10"/>
        <w:pBdr/>
        <w:spacing w:after="120" w:before="0" w:line="288" w:lineRule="auto"/>
        <w: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10"/>
        <w:pBdr/>
        <w:tabs>
          <w:tab w:val="clear" w:leader="none" w:pos="708"/>
          <w:tab w:val="left" w:leader="none" w:pos="1701"/>
        </w:tabs>
        <w:spacing w:after="120" w:before="0"/>
        <w: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Součástí tohoto čestného prohlášení jsou příslušné výkazy zisku a ztrát účastníka nebo obdobné doklady podle právního řádu země sídla účastníka.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10"/>
        <w:pBdr/>
        <w:tabs>
          <w:tab w:val="clear" w:leader="none" w:pos="708"/>
          <w:tab w:val="left" w:leader="none" w:pos="1701"/>
        </w:tabs>
        <w:spacing w:after="120" w:before="0"/>
        <w:ind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910"/>
        <w:pBdr/>
        <w:tabs>
          <w:tab w:val="clear" w:leader="none" w:pos="708"/>
          <w:tab w:val="left" w:leader="none" w:pos="1701"/>
        </w:tabs>
        <w:spacing w:after="120" w:before="0"/>
        <w: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Skutečností rozhodnou pro určení posledních dvou uzavřených účetních období je zahájení zadávacího řízení.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10"/>
        <w:pBdr/>
        <w:spacing w:after="120" w:before="0" w:line="288" w:lineRule="auto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0"/>
        <w:pBdr/>
        <w:spacing w:after="120" w:before="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0"/>
        <w:pBdr/>
        <w:spacing w:after="120" w:before="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0"/>
        <w:pBdr/>
        <w:spacing w:after="120" w:before="0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0"/>
        <w:pBdr/>
        <w:tabs>
          <w:tab w:val="clear" w:leader="none" w:pos="708"/>
          <w:tab w:val="left" w:leader="none" w:pos="1843"/>
        </w:tabs>
        <w:spacing w:after="120" w:before="0"/>
        <w:ind/>
        <w:rPr>
          <w:sz w:val="22"/>
          <w:szCs w:val="22"/>
        </w:rPr>
      </w:pPr>
      <w:r>
        <w:rPr>
          <w:sz w:val="22"/>
          <w:szCs w:val="22"/>
        </w:rPr>
        <w:t xml:space="preserve">V ……………………………………….,</w:t>
        <w:tab/>
        <w:t xml:space="preserve">dne ……………………….</w:t>
        <w:br/>
        <w:br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0"/>
        <w:pBdr/>
        <w:spacing w:after="120" w:before="0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0"/>
        <w:pBdr/>
        <w:spacing w:after="120" w:before="0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</w:t>
      </w:r>
      <w:r>
        <w:rPr>
          <w:sz w:val="22"/>
          <w:szCs w:val="22"/>
        </w:rPr>
        <w:br/>
        <w:t xml:space="preserve">podpis oprávněné osoby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pBdr/>
      <w:spacing/>
      <w:ind/>
      <w:jc w:val="center"/>
      <w:rPr>
        <w:i/>
        <w:sz w:val="20"/>
        <w:szCs w:val="20"/>
      </w:rPr>
    </w:pPr>
    <w:r>
      <w:rPr>
        <w:i/>
        <w:sz w:val="20"/>
        <w:szCs w:val="20"/>
      </w:rPr>
    </w:r>
    <w:r>
      <w:rPr>
        <w:i/>
        <w:sz w:val="20"/>
        <w:szCs w:val="20"/>
      </w:rPr>
    </w:r>
    <w:r>
      <w:rPr>
        <w:i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60720" cy="843280"/>
              <wp:effectExtent l="0" t="0" r="0" b="0"/>
              <wp:docPr id="1" name="Obrázek 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843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3.60pt;height:66.4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8">
    <w:name w:val="Table Grid"/>
    <w:basedOn w:val="9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Table Grid Light"/>
    <w:basedOn w:val="9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1"/>
    <w:basedOn w:val="9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2"/>
    <w:basedOn w:val="9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"/>
    <w:basedOn w:val="9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1"/>
    <w:basedOn w:val="9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2"/>
    <w:basedOn w:val="9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3"/>
    <w:basedOn w:val="9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4"/>
    <w:basedOn w:val="9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5"/>
    <w:basedOn w:val="9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6"/>
    <w:basedOn w:val="9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1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2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3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4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5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6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1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2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3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4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5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6"/>
    <w:basedOn w:val="9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1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2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3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4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5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6"/>
    <w:basedOn w:val="9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4">
    <w:name w:val="Heading 1"/>
    <w:basedOn w:val="910"/>
    <w:next w:val="910"/>
    <w:link w:val="87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5">
    <w:name w:val="Heading 2"/>
    <w:basedOn w:val="910"/>
    <w:next w:val="910"/>
    <w:link w:val="87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6">
    <w:name w:val="Heading 3"/>
    <w:basedOn w:val="910"/>
    <w:next w:val="910"/>
    <w:link w:val="87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7">
    <w:name w:val="Heading 4"/>
    <w:basedOn w:val="910"/>
    <w:next w:val="910"/>
    <w:link w:val="87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8">
    <w:name w:val="Heading 5"/>
    <w:basedOn w:val="910"/>
    <w:next w:val="910"/>
    <w:link w:val="87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9">
    <w:name w:val="Heading 6"/>
    <w:basedOn w:val="910"/>
    <w:next w:val="910"/>
    <w:link w:val="87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0">
    <w:name w:val="Heading 7"/>
    <w:basedOn w:val="910"/>
    <w:next w:val="910"/>
    <w:link w:val="87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1">
    <w:name w:val="Heading 8"/>
    <w:basedOn w:val="910"/>
    <w:next w:val="910"/>
    <w:link w:val="88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2">
    <w:name w:val="Heading 9"/>
    <w:basedOn w:val="910"/>
    <w:next w:val="910"/>
    <w:link w:val="88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3">
    <w:name w:val="Heading 1 Char"/>
    <w:basedOn w:val="911"/>
    <w:link w:val="8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4">
    <w:name w:val="Heading 2 Char"/>
    <w:basedOn w:val="911"/>
    <w:link w:val="8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5">
    <w:name w:val="Heading 3 Char"/>
    <w:basedOn w:val="911"/>
    <w:link w:val="8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6">
    <w:name w:val="Heading 4 Char"/>
    <w:basedOn w:val="911"/>
    <w:link w:val="86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7">
    <w:name w:val="Heading 5 Char"/>
    <w:basedOn w:val="911"/>
    <w:link w:val="8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8">
    <w:name w:val="Heading 6 Char"/>
    <w:basedOn w:val="911"/>
    <w:link w:val="86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9">
    <w:name w:val="Heading 7 Char"/>
    <w:basedOn w:val="911"/>
    <w:link w:val="87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0">
    <w:name w:val="Heading 8 Char"/>
    <w:basedOn w:val="911"/>
    <w:link w:val="87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1">
    <w:name w:val="Heading 9 Char"/>
    <w:basedOn w:val="911"/>
    <w:link w:val="87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2">
    <w:name w:val="Title"/>
    <w:basedOn w:val="910"/>
    <w:next w:val="910"/>
    <w:link w:val="88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3">
    <w:name w:val="Title Char"/>
    <w:basedOn w:val="911"/>
    <w:link w:val="88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4">
    <w:name w:val="Subtitle"/>
    <w:basedOn w:val="910"/>
    <w:next w:val="910"/>
    <w:link w:val="88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5">
    <w:name w:val="Subtitle Char"/>
    <w:basedOn w:val="911"/>
    <w:link w:val="88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6">
    <w:name w:val="Quote"/>
    <w:basedOn w:val="910"/>
    <w:next w:val="910"/>
    <w:link w:val="88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7">
    <w:name w:val="Quote Char"/>
    <w:basedOn w:val="911"/>
    <w:link w:val="88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Intense Emphasis"/>
    <w:basedOn w:val="91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9">
    <w:name w:val="Intense Quote"/>
    <w:basedOn w:val="910"/>
    <w:next w:val="910"/>
    <w:link w:val="89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0">
    <w:name w:val="Intense Quote Char"/>
    <w:basedOn w:val="911"/>
    <w:link w:val="88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1">
    <w:name w:val="Intense Reference"/>
    <w:basedOn w:val="91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2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93">
    <w:name w:val="Subtle Emphasis"/>
    <w:basedOn w:val="91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4">
    <w:name w:val="Emphasis"/>
    <w:basedOn w:val="911"/>
    <w:uiPriority w:val="20"/>
    <w:qFormat/>
    <w:pPr>
      <w:pBdr/>
      <w:spacing/>
      <w:ind/>
    </w:pPr>
    <w:rPr>
      <w:i/>
      <w:iCs/>
    </w:rPr>
  </w:style>
  <w:style w:type="character" w:styleId="895">
    <w:name w:val="Strong"/>
    <w:basedOn w:val="911"/>
    <w:uiPriority w:val="22"/>
    <w:qFormat/>
    <w:pPr>
      <w:pBdr/>
      <w:spacing/>
      <w:ind/>
    </w:pPr>
    <w:rPr>
      <w:b/>
      <w:bCs/>
    </w:rPr>
  </w:style>
  <w:style w:type="character" w:styleId="896">
    <w:name w:val="Subtle Reference"/>
    <w:basedOn w:val="91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7">
    <w:name w:val="Book Title"/>
    <w:basedOn w:val="91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8">
    <w:name w:val="Header Char"/>
    <w:basedOn w:val="911"/>
    <w:link w:val="924"/>
    <w:uiPriority w:val="99"/>
    <w:pPr>
      <w:pBdr/>
      <w:spacing/>
      <w:ind/>
    </w:pPr>
  </w:style>
  <w:style w:type="character" w:styleId="899">
    <w:name w:val="Footer Char"/>
    <w:basedOn w:val="911"/>
    <w:link w:val="925"/>
    <w:uiPriority w:val="99"/>
    <w:pPr>
      <w:pBdr/>
      <w:spacing/>
      <w:ind/>
    </w:pPr>
  </w:style>
  <w:style w:type="paragraph" w:styleId="900">
    <w:name w:val="footnote text"/>
    <w:basedOn w:val="910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Footnote Text Char"/>
    <w:basedOn w:val="911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footnote reference"/>
    <w:basedOn w:val="911"/>
    <w:uiPriority w:val="99"/>
    <w:semiHidden/>
    <w:unhideWhenUsed/>
    <w:pPr>
      <w:pBdr/>
      <w:spacing/>
      <w:ind/>
    </w:pPr>
    <w:rPr>
      <w:vertAlign w:val="superscript"/>
    </w:rPr>
  </w:style>
  <w:style w:type="paragraph" w:styleId="903">
    <w:name w:val="endnote text"/>
    <w:basedOn w:val="910"/>
    <w:link w:val="90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4">
    <w:name w:val="Endnote Text Char"/>
    <w:basedOn w:val="911"/>
    <w:link w:val="903"/>
    <w:uiPriority w:val="99"/>
    <w:semiHidden/>
    <w:pPr>
      <w:pBdr/>
      <w:spacing/>
      <w:ind/>
    </w:pPr>
    <w:rPr>
      <w:sz w:val="20"/>
      <w:szCs w:val="20"/>
    </w:rPr>
  </w:style>
  <w:style w:type="character" w:styleId="905">
    <w:name w:val="endnote reference"/>
    <w:basedOn w:val="911"/>
    <w:uiPriority w:val="99"/>
    <w:semiHidden/>
    <w:unhideWhenUsed/>
    <w:pPr>
      <w:pBdr/>
      <w:spacing/>
      <w:ind/>
    </w:pPr>
    <w:rPr>
      <w:vertAlign w:val="superscript"/>
    </w:rPr>
  </w:style>
  <w:style w:type="character" w:styleId="906">
    <w:name w:val="Hyperlink"/>
    <w:basedOn w:val="91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7">
    <w:name w:val="FollowedHyperlink"/>
    <w:basedOn w:val="91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8">
    <w:name w:val="TOC Heading"/>
    <w:uiPriority w:val="39"/>
    <w:unhideWhenUsed/>
    <w:pPr>
      <w:pBdr/>
      <w:spacing/>
      <w:ind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widowControl w:val="true"/>
      <w:pBdr/>
      <w:bidi w:val="false"/>
      <w:spacing w:after="0" w:before="0" w:line="240" w:lineRule="auto"/>
      <w:ind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cs-CZ" w:eastAsia="ar-SA" w:bidi="ar-SA"/>
    </w:rPr>
  </w:style>
  <w:style w:type="character" w:styleId="911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912" w:customStyle="1">
    <w:name w:val="Záhlaví Char"/>
    <w:basedOn w:val="911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3" w:customStyle="1">
    <w:name w:val="Zápatí Char"/>
    <w:basedOn w:val="911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4" w:customStyle="1">
    <w:name w:val="Text bubliny Char"/>
    <w:basedOn w:val="911"/>
    <w:link w:val="927"/>
    <w:uiPriority w:val="99"/>
    <w:semiHidden/>
    <w:qFormat/>
    <w:pPr>
      <w:pBdr/>
      <w:spacing/>
      <w:ind/>
    </w:pPr>
    <w:rPr>
      <w:rFonts w:ascii="Segoe UI" w:hAnsi="Segoe UI" w:eastAsia="Times New Roman" w:cs="Segoe UI"/>
      <w:sz w:val="18"/>
      <w:szCs w:val="18"/>
      <w:lang w:eastAsia="ar-SA"/>
    </w:rPr>
  </w:style>
  <w:style w:type="character" w:styleId="915" w:customStyle="1">
    <w:name w:val="Odstavec se seznamem Char"/>
    <w:link w:val="926"/>
    <w:uiPriority w:val="34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916">
    <w:name w:val="annotation reference"/>
    <w:basedOn w:val="911"/>
    <w:uiPriority w:val="99"/>
    <w:semiHidden/>
    <w:unhideWhenUsed/>
    <w:qFormat/>
    <w:pPr>
      <w:pBdr/>
      <w:spacing/>
      <w:ind/>
    </w:pPr>
    <w:rPr>
      <w:sz w:val="16"/>
      <w:szCs w:val="16"/>
    </w:rPr>
  </w:style>
  <w:style w:type="character" w:styleId="917" w:customStyle="1">
    <w:name w:val="Text komentáře Char"/>
    <w:basedOn w:val="911"/>
    <w:link w:val="928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918">
    <w:name w:val="Nadpis"/>
    <w:basedOn w:val="910"/>
    <w:next w:val="919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919">
    <w:name w:val="Body Text"/>
    <w:basedOn w:val="910"/>
    <w:pPr>
      <w:pBdr/>
      <w:spacing w:after="140" w:before="0" w:line="276" w:lineRule="auto"/>
      <w:ind/>
    </w:pPr>
  </w:style>
  <w:style w:type="paragraph" w:styleId="920">
    <w:name w:val="List"/>
    <w:basedOn w:val="919"/>
    <w:pPr>
      <w:pBdr/>
      <w:spacing/>
      <w:ind/>
    </w:pPr>
    <w:rPr>
      <w:rFonts w:cs="Lucida Sans"/>
    </w:rPr>
  </w:style>
  <w:style w:type="paragraph" w:styleId="921">
    <w:name w:val="Caption"/>
    <w:basedOn w:val="910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922">
    <w:name w:val="Rejstřík"/>
    <w:basedOn w:val="910"/>
    <w:qFormat/>
    <w:pPr>
      <w:suppressLineNumbers w:val="true"/>
      <w:pBdr/>
      <w:spacing/>
      <w:ind/>
    </w:pPr>
    <w:rPr>
      <w:rFonts w:cs="Lucida Sans"/>
    </w:rPr>
  </w:style>
  <w:style w:type="paragraph" w:styleId="923">
    <w:name w:val="Záhlaví a zápatí"/>
    <w:basedOn w:val="910"/>
    <w:qFormat/>
    <w:pPr>
      <w:pBdr/>
      <w:spacing/>
      <w:ind/>
    </w:pPr>
  </w:style>
  <w:style w:type="paragraph" w:styleId="924">
    <w:name w:val="Header"/>
    <w:basedOn w:val="910"/>
    <w:link w:val="912"/>
    <w:uiPriority w:val="99"/>
    <w:unhideWhenUsed/>
    <w:pPr>
      <w:pBdr/>
      <w:tabs>
        <w:tab w:val="clear" w:leader="none" w:pos="708"/>
        <w:tab w:val="center" w:leader="none" w:pos="4536"/>
        <w:tab w:val="right" w:leader="none" w:pos="9072"/>
      </w:tabs>
      <w:spacing/>
      <w:ind/>
    </w:pPr>
  </w:style>
  <w:style w:type="paragraph" w:styleId="925">
    <w:name w:val="Footer"/>
    <w:basedOn w:val="910"/>
    <w:link w:val="913"/>
    <w:uiPriority w:val="99"/>
    <w:unhideWhenUsed/>
    <w:pPr>
      <w:pBdr/>
      <w:tabs>
        <w:tab w:val="clear" w:leader="none" w:pos="708"/>
        <w:tab w:val="center" w:leader="none" w:pos="4536"/>
        <w:tab w:val="right" w:leader="none" w:pos="9072"/>
      </w:tabs>
      <w:spacing/>
      <w:ind/>
    </w:pPr>
  </w:style>
  <w:style w:type="paragraph" w:styleId="926">
    <w:name w:val="List Paragraph"/>
    <w:basedOn w:val="910"/>
    <w:link w:val="915"/>
    <w:uiPriority w:val="34"/>
    <w:qFormat/>
    <w:pPr>
      <w:pBdr/>
      <w:spacing w:after="0" w:before="0"/>
      <w:ind w:left="720"/>
      <w:contextualSpacing w:val="true"/>
    </w:pPr>
  </w:style>
  <w:style w:type="paragraph" w:styleId="927">
    <w:name w:val="Balloon Text"/>
    <w:basedOn w:val="910"/>
    <w:link w:val="914"/>
    <w:uiPriority w:val="99"/>
    <w:semiHidden/>
    <w:unhideWhenUsed/>
    <w:qFormat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28">
    <w:name w:val="annotation text"/>
    <w:basedOn w:val="910"/>
    <w:link w:val="917"/>
    <w:uiPriority w:val="99"/>
    <w:unhideWhenUsed/>
    <w:qFormat/>
    <w:pPr>
      <w:pBdr/>
      <w:spacing/>
      <w:ind/>
    </w:pPr>
    <w:rPr>
      <w:sz w:val="20"/>
      <w:szCs w:val="20"/>
      <w:lang w:eastAsia="cs-CZ"/>
    </w:rPr>
  </w:style>
  <w:style w:type="numbering" w:styleId="929" w:default="1">
    <w:name w:val="No List"/>
    <w:uiPriority w:val="99"/>
    <w:semiHidden/>
    <w:unhideWhenUsed/>
    <w:qFormat/>
    <w:pPr>
      <w:pBdr/>
      <w:spacing/>
      <w:ind/>
    </w:pPr>
  </w:style>
  <w:style w:type="table" w:styleId="930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467F-BF19-4F06-BC9B-2502AB02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Cveček  - Energy Benefit Centre a.s.</dc:creator>
  <dc:description/>
  <dc:language>cs-CZ</dc:language>
  <cp:revision>53</cp:revision>
  <dcterms:created xsi:type="dcterms:W3CDTF">2012-07-11T12:38:00Z</dcterms:created>
  <dcterms:modified xsi:type="dcterms:W3CDTF">2024-06-27T12:31:28Z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