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9C1" w:rsidRPr="006429C1" w:rsidRDefault="006429C1" w:rsidP="006429C1">
      <w:pPr>
        <w:spacing w:after="0" w:afterAutospacing="0" w:line="240" w:lineRule="auto"/>
        <w:jc w:val="center"/>
        <w:rPr>
          <w:b/>
          <w:sz w:val="28"/>
          <w:szCs w:val="28"/>
        </w:rPr>
      </w:pPr>
      <w:r w:rsidRPr="006429C1">
        <w:rPr>
          <w:b/>
          <w:sz w:val="28"/>
          <w:szCs w:val="28"/>
        </w:rPr>
        <w:t>Technická specifikace</w:t>
      </w:r>
    </w:p>
    <w:p w:rsidR="00DB5E55" w:rsidRDefault="00DB5E55" w:rsidP="00DB5E55">
      <w:pPr>
        <w:spacing w:after="0" w:afterAutospacing="0" w:line="240" w:lineRule="auto"/>
        <w:rPr>
          <w:b/>
        </w:rPr>
      </w:pPr>
    </w:p>
    <w:p w:rsidR="00EC5487" w:rsidRPr="004C7332" w:rsidRDefault="004C7332" w:rsidP="004C7332">
      <w:pPr>
        <w:rPr>
          <w:b/>
        </w:rPr>
      </w:pPr>
      <w:r w:rsidRPr="004C7332">
        <w:rPr>
          <w:b/>
        </w:rPr>
        <w:t>Stožáry pro veřejné osvětlení:</w:t>
      </w:r>
    </w:p>
    <w:p w:rsidR="004C7332" w:rsidRPr="00765B20" w:rsidRDefault="004C7332" w:rsidP="004C7332">
      <w:pPr>
        <w:pStyle w:val="Bezmezer"/>
      </w:pPr>
      <w:r w:rsidRPr="00765B20">
        <w:t xml:space="preserve">Stožáry o jmenovitých výškách </w:t>
      </w:r>
      <w:r w:rsidR="00941C72" w:rsidRPr="00765B20">
        <w:t xml:space="preserve"> </w:t>
      </w:r>
      <w:r w:rsidR="00203A31" w:rsidRPr="00765B20">
        <w:t>5</w:t>
      </w:r>
      <w:r w:rsidR="00941C72" w:rsidRPr="00765B20">
        <w:t xml:space="preserve">, 8, 10, </w:t>
      </w:r>
      <w:r w:rsidRPr="00765B20">
        <w:t xml:space="preserve"> v provedení vetknuté do země</w:t>
      </w:r>
      <w:r w:rsidR="00BD6D4A" w:rsidRPr="00765B20">
        <w:t xml:space="preserve"> (2x zális, svařeno ze 3 trubek). </w:t>
      </w:r>
      <w:r w:rsidRPr="00765B20">
        <w:t>Stožáry jsou bezpatkové.</w:t>
      </w:r>
      <w:r w:rsidR="00EF3742" w:rsidRPr="00765B20">
        <w:t xml:space="preserve"> Poptávány jsou sadové stožáry SB 5 </w:t>
      </w:r>
      <w:r w:rsidR="00203A31" w:rsidRPr="00765B20">
        <w:t xml:space="preserve">typ </w:t>
      </w:r>
      <w:r w:rsidR="00CA6BE8">
        <w:t>„</w:t>
      </w:r>
      <w:r w:rsidR="00203A31" w:rsidRPr="00765B20">
        <w:t>Brno</w:t>
      </w:r>
      <w:r w:rsidR="00CA6BE8">
        <w:t>“</w:t>
      </w:r>
      <w:r w:rsidR="00203A31" w:rsidRPr="00765B20">
        <w:t xml:space="preserve"> </w:t>
      </w:r>
      <w:r w:rsidR="00EF3742" w:rsidRPr="00765B20">
        <w:t>vhodné pro osvětlení pěších zón , parků a silnic s nižší frekvencí provozu a</w:t>
      </w:r>
      <w:r w:rsidR="00203A31" w:rsidRPr="00765B20">
        <w:t xml:space="preserve"> výložníkové stožáry JB8, JB10 typ </w:t>
      </w:r>
      <w:r w:rsidR="00CA6BE8">
        <w:t>„</w:t>
      </w:r>
      <w:r w:rsidR="00203A31" w:rsidRPr="00765B20">
        <w:t>Brno</w:t>
      </w:r>
      <w:r w:rsidR="00CA6BE8">
        <w:t>“</w:t>
      </w:r>
      <w:r w:rsidR="00EF3742" w:rsidRPr="00765B20">
        <w:t xml:space="preserve"> pro osvětlení silnic I. a II. třídy.</w:t>
      </w:r>
      <w:r w:rsidR="004C1EF5" w:rsidRPr="00765B20">
        <w:t xml:space="preserve"> Technická a výkresová specifikace jednotlivých stožáru je uvedena v  přílohách </w:t>
      </w:r>
      <w:r w:rsidR="00892A30">
        <w:t xml:space="preserve">A,B a </w:t>
      </w:r>
      <w:r w:rsidR="004C1EF5" w:rsidRPr="00765B20">
        <w:t>C,</w:t>
      </w:r>
    </w:p>
    <w:p w:rsidR="004C1EF5" w:rsidRDefault="004C1EF5" w:rsidP="004C1EF5">
      <w:r>
        <w:t>Průměr, síla, délka materiálu, maximální zatížení:</w:t>
      </w:r>
    </w:p>
    <w:tbl>
      <w:tblPr>
        <w:tblW w:w="0" w:type="auto"/>
        <w:tblInd w:w="5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6"/>
        <w:gridCol w:w="905"/>
        <w:gridCol w:w="940"/>
        <w:gridCol w:w="1033"/>
        <w:gridCol w:w="940"/>
        <w:gridCol w:w="1033"/>
        <w:gridCol w:w="940"/>
        <w:gridCol w:w="1028"/>
        <w:gridCol w:w="1330"/>
      </w:tblGrid>
      <w:tr w:rsidR="00984D40" w:rsidRPr="00B9433C" w:rsidTr="00984D40">
        <w:trPr>
          <w:trHeight w:val="255"/>
        </w:trPr>
        <w:tc>
          <w:tcPr>
            <w:tcW w:w="100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 </w:t>
            </w:r>
          </w:p>
          <w:p w:rsidR="00984D40" w:rsidRPr="00B9433C" w:rsidRDefault="00984D40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Označení</w:t>
            </w:r>
          </w:p>
        </w:tc>
        <w:tc>
          <w:tcPr>
            <w:tcW w:w="1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1.dřík</w:t>
            </w:r>
          </w:p>
        </w:tc>
        <w:tc>
          <w:tcPr>
            <w:tcW w:w="19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2.dřík</w:t>
            </w:r>
          </w:p>
        </w:tc>
        <w:tc>
          <w:tcPr>
            <w:tcW w:w="197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3.dřík</w:t>
            </w:r>
          </w:p>
        </w:tc>
        <w:tc>
          <w:tcPr>
            <w:tcW w:w="235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maximální zatížení</w:t>
            </w:r>
          </w:p>
        </w:tc>
      </w:tr>
      <w:tr w:rsidR="00984D40" w:rsidRPr="00B9433C" w:rsidTr="00984D40">
        <w:trPr>
          <w:trHeight w:val="270"/>
        </w:trPr>
        <w:tc>
          <w:tcPr>
            <w:tcW w:w="100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</w:p>
        </w:tc>
        <w:tc>
          <w:tcPr>
            <w:tcW w:w="9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trubka (mm)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délka (mm)</w:t>
            </w:r>
          </w:p>
        </w:tc>
        <w:tc>
          <w:tcPr>
            <w:tcW w:w="1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trubka (mm)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délka (mm)</w:t>
            </w:r>
          </w:p>
        </w:tc>
        <w:tc>
          <w:tcPr>
            <w:tcW w:w="1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trubka (mm)</w:t>
            </w:r>
          </w:p>
        </w:tc>
        <w:tc>
          <w:tcPr>
            <w:tcW w:w="9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délka (mm)</w:t>
            </w:r>
          </w:p>
        </w:tc>
        <w:tc>
          <w:tcPr>
            <w:tcW w:w="10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Vrch. Tah (N)</w:t>
            </w:r>
          </w:p>
        </w:tc>
        <w:tc>
          <w:tcPr>
            <w:tcW w:w="13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84D40" w:rsidRPr="00B9433C" w:rsidRDefault="00984D40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při ploše sv. (m2)</w:t>
            </w:r>
          </w:p>
        </w:tc>
      </w:tr>
      <w:tr w:rsidR="004C1EF5" w:rsidRPr="00B9433C" w:rsidTr="00984D40">
        <w:trPr>
          <w:trHeight w:val="255"/>
        </w:trPr>
        <w:tc>
          <w:tcPr>
            <w:tcW w:w="1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SB5</w:t>
            </w:r>
          </w:p>
        </w:tc>
        <w:tc>
          <w:tcPr>
            <w:tcW w:w="9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133/4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2100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89/4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60/3,2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892A30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2000</w:t>
            </w:r>
          </w:p>
        </w:tc>
        <w:tc>
          <w:tcPr>
            <w:tcW w:w="1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899</w:t>
            </w:r>
          </w:p>
        </w:tc>
        <w:tc>
          <w:tcPr>
            <w:tcW w:w="133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1,27</w:t>
            </w:r>
          </w:p>
        </w:tc>
      </w:tr>
      <w:tr w:rsidR="004C1EF5" w:rsidRPr="00B9433C" w:rsidTr="00984D40">
        <w:trPr>
          <w:trHeight w:val="255"/>
        </w:trPr>
        <w:tc>
          <w:tcPr>
            <w:tcW w:w="1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JB8</w:t>
            </w:r>
          </w:p>
        </w:tc>
        <w:tc>
          <w:tcPr>
            <w:tcW w:w="9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159/6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3200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114/4,5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89/4,5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2000</w:t>
            </w:r>
          </w:p>
        </w:tc>
        <w:tc>
          <w:tcPr>
            <w:tcW w:w="1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2667</w:t>
            </w:r>
          </w:p>
        </w:tc>
        <w:tc>
          <w:tcPr>
            <w:tcW w:w="133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4,13</w:t>
            </w:r>
          </w:p>
        </w:tc>
      </w:tr>
      <w:tr w:rsidR="004C1EF5" w:rsidRPr="00B9433C" w:rsidTr="00984D40">
        <w:trPr>
          <w:trHeight w:val="255"/>
        </w:trPr>
        <w:tc>
          <w:tcPr>
            <w:tcW w:w="1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JB10</w:t>
            </w:r>
          </w:p>
        </w:tc>
        <w:tc>
          <w:tcPr>
            <w:tcW w:w="9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159/6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3500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114/4,5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3000</w:t>
            </w:r>
          </w:p>
        </w:tc>
        <w:tc>
          <w:tcPr>
            <w:tcW w:w="10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89/4,5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2950</w:t>
            </w:r>
          </w:p>
        </w:tc>
        <w:tc>
          <w:tcPr>
            <w:tcW w:w="10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1825</w:t>
            </w:r>
          </w:p>
        </w:tc>
        <w:tc>
          <w:tcPr>
            <w:tcW w:w="133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C1EF5" w:rsidRPr="00B9433C" w:rsidRDefault="004C1EF5" w:rsidP="003D18DC">
            <w:pPr>
              <w:spacing w:after="0" w:afterAutospacing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</w:pPr>
            <w:r w:rsidRPr="00B9433C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cs-CZ"/>
              </w:rPr>
              <w:t>2,68</w:t>
            </w:r>
          </w:p>
        </w:tc>
      </w:tr>
    </w:tbl>
    <w:p w:rsidR="00116A5F" w:rsidRDefault="00116A5F" w:rsidP="0098671B">
      <w:pPr>
        <w:pStyle w:val="Bezmezer"/>
      </w:pPr>
    </w:p>
    <w:p w:rsidR="00116A5F" w:rsidRPr="00765B20" w:rsidRDefault="00116A5F" w:rsidP="00116A5F">
      <w:pPr>
        <w:pStyle w:val="Bezmezer"/>
        <w:rPr>
          <w:b/>
        </w:rPr>
      </w:pPr>
      <w:r w:rsidRPr="00765B20">
        <w:rPr>
          <w:b/>
        </w:rPr>
        <w:t>Výložník pro veřejné osvětlení:</w:t>
      </w:r>
    </w:p>
    <w:p w:rsidR="00116A5F" w:rsidRDefault="00116A5F" w:rsidP="00116A5F">
      <w:pPr>
        <w:pStyle w:val="Bezmezer"/>
      </w:pPr>
      <w:r>
        <w:t>Obloukový v</w:t>
      </w:r>
      <w:r w:rsidRPr="00765B20">
        <w:t xml:space="preserve">ýložník o jmenovité délce 1500, </w:t>
      </w:r>
      <w:r>
        <w:t>který se usazuje do vrchního stupně dříku</w:t>
      </w:r>
      <w:r w:rsidRPr="00765B20">
        <w:t xml:space="preserve"> výložníkových stožárů JB8, JB10. </w:t>
      </w:r>
      <w:r>
        <w:t xml:space="preserve">Zajistí se v určené poloze pomocí tří šroubů M10.  </w:t>
      </w:r>
      <w:r w:rsidR="008A15B4" w:rsidRPr="00765B20">
        <w:t>Povrchová úprava - žárovým oboustranným ponorným zinkováním dle ČSN EN ISO 1461</w:t>
      </w:r>
      <w:r w:rsidR="008A15B4">
        <w:t>, min. 0,08</w:t>
      </w:r>
      <w:r w:rsidR="00892A30">
        <w:t xml:space="preserve"> </w:t>
      </w:r>
      <w:r w:rsidR="008A15B4">
        <w:t>mm,</w:t>
      </w:r>
      <w:r w:rsidR="00892A30">
        <w:t xml:space="preserve"> </w:t>
      </w:r>
      <w:r w:rsidR="008A15B4">
        <w:t>dle DIN 50976.</w:t>
      </w:r>
      <w:r>
        <w:t xml:space="preserve">  </w:t>
      </w:r>
      <w:r w:rsidRPr="00765B20">
        <w:t>Technická specifikace je uvedena v</w:t>
      </w:r>
      <w:r>
        <w:t> příloze D</w:t>
      </w:r>
      <w:r w:rsidR="00892A30">
        <w:t>.</w:t>
      </w:r>
    </w:p>
    <w:p w:rsidR="003A416B" w:rsidRDefault="0094735F" w:rsidP="003A416B">
      <w:pPr>
        <w:pStyle w:val="Bezmezer"/>
      </w:pPr>
      <w:r>
        <w:t xml:space="preserve">Konstrukce </w:t>
      </w:r>
      <w:r w:rsidR="00892A30">
        <w:t xml:space="preserve">stožárů a výložníků </w:t>
      </w:r>
      <w:r>
        <w:t>je vyráběna dle normy EN ČSN 40, EN 1090-1 a A1:2012. Kvalita použité oceli pro výrobu stožáru -  S235. Jakost svařování odpovídá normě ČSN EN 3834-2.</w:t>
      </w:r>
    </w:p>
    <w:p w:rsidR="003A416B" w:rsidRDefault="003A416B" w:rsidP="003A416B">
      <w:pPr>
        <w:pStyle w:val="Bezmezer"/>
        <w:spacing w:afterAutospacing="0"/>
        <w:rPr>
          <w:b/>
        </w:rPr>
      </w:pPr>
    </w:p>
    <w:p w:rsidR="003A416B" w:rsidRDefault="00DB5E55" w:rsidP="003A416B">
      <w:pPr>
        <w:pStyle w:val="Bezmezer"/>
        <w:spacing w:afterAutospacing="0"/>
        <w:rPr>
          <w:b/>
        </w:rPr>
      </w:pPr>
      <w:r>
        <w:rPr>
          <w:b/>
        </w:rPr>
        <w:t>Další požadavky:</w:t>
      </w:r>
    </w:p>
    <w:p w:rsid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</w:pPr>
      <w:r w:rsidRPr="00765B20">
        <w:t>Povrchová úprava - žárovým oboustranným ponorným zinkováním dle ČSN EN ISO 1461</w:t>
      </w:r>
      <w:r>
        <w:t>, min. 0,08</w:t>
      </w:r>
      <w:r w:rsidR="00892A30">
        <w:t> </w:t>
      </w:r>
      <w:r>
        <w:t>mm,</w:t>
      </w:r>
      <w:r w:rsidR="00892A30">
        <w:t xml:space="preserve"> </w:t>
      </w:r>
      <w:r>
        <w:t>dle DIN 50976, nerezový zemnící a upevňovací šrouby výložníky (JB8, JB10)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>Doplňková antikorozní ochrana od spodní hrany stožáru po spodní hranu dvířek - termoplastická manžeta nebo  speciálním nátěrovým systémem, popis viz přílohy E</w:t>
      </w:r>
      <w:r w:rsidR="00892A30">
        <w:t xml:space="preserve"> a</w:t>
      </w:r>
      <w:r w:rsidRPr="00765B20">
        <w:t xml:space="preserve"> F  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 xml:space="preserve">Otvor pro dvířka  </w:t>
      </w:r>
      <w:r w:rsidR="00CA6BE8">
        <w:t>u stožárů typu „Brno“</w:t>
      </w:r>
      <w:r w:rsidRPr="00765B20">
        <w:t>musí mít min. rozměry:  100</w:t>
      </w:r>
      <w:r w:rsidR="00892A30">
        <w:t xml:space="preserve"> </w:t>
      </w:r>
      <w:r w:rsidRPr="00765B20">
        <w:t>x 400</w:t>
      </w:r>
      <w:r w:rsidR="00892A30">
        <w:t xml:space="preserve"> </w:t>
      </w:r>
      <w:r w:rsidRPr="00765B20">
        <w:t xml:space="preserve">mm u sadových stožárů SB 5  a 120 x 500 mm u výložníkových stožárů. 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>
        <w:t>Krytí dvířek min. IP3X.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 xml:space="preserve">Dvířka stožáru musí být záměnná a uzavíratelná </w:t>
      </w:r>
      <w:r>
        <w:t xml:space="preserve">bezpečnostním </w:t>
      </w:r>
      <w:r w:rsidRPr="00765B20">
        <w:t>šroubem M8 s</w:t>
      </w:r>
      <w:r>
        <w:t> </w:t>
      </w:r>
      <w:r w:rsidRPr="00765B20">
        <w:t>půlkulatou</w:t>
      </w:r>
      <w:r>
        <w:t xml:space="preserve"> </w:t>
      </w:r>
      <w:r w:rsidR="00CA6BE8">
        <w:t xml:space="preserve">„D“ </w:t>
      </w:r>
      <w:r>
        <w:t>nebo čočkovou</w:t>
      </w:r>
      <w:r w:rsidRPr="00765B20">
        <w:t xml:space="preserve"> hlavou, provedení Inbus M5 nerez.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>U výložníkových stožárů JB8, JB10 musí spojení výložníků s dříkem stožáru být bezpečné a dokonalé. Musí zabránit samovolnému pootočení výložníku (např. větrem) a zabezpečovat jeho správnou polohu. Zajištění se provádí přitažením tří šroubů (červ DIN 916) M10x20 nerez A2 s vnitřním šestihranem  5mm přes dřík stožáru do výložníku. Vrchní stupeň dříku je vybaven třemi vevařenými maticemi M10. V místě spojení nesmí do stožáru vnikat voda. Je třeba ho chránit krytkou výložníku.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>
        <w:t xml:space="preserve">Otvor pro kabel </w:t>
      </w:r>
      <w:r w:rsidR="00AD687D">
        <w:t xml:space="preserve">spodní části stožáru </w:t>
      </w:r>
      <w:r>
        <w:t>musí mít rozměr minimálně 75x150mm v ose dvířek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 xml:space="preserve">Vstup pro zásuvku GESIS. Každý stožár je opatřen otvorem o průměru </w:t>
      </w:r>
      <w:r>
        <w:t xml:space="preserve">min. </w:t>
      </w:r>
      <w:r w:rsidRPr="00765B20">
        <w:t>26 + 0,5 mm a krytkou. Popis je uveden v příloze G</w:t>
      </w:r>
      <w:r w:rsidR="00892A30">
        <w:t>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lastRenderedPageBreak/>
        <w:t>Uzemnění vnější (pospojování) v ose dvířek musí být na šroub M10 x 25 nerez A2 + podložka DIN 125/A  Ø 10,5 + podložka vějířová Ø 10,5</w:t>
      </w:r>
      <w:r w:rsidR="00892A30">
        <w:t>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>Uzemnění vnitřní (uzemnění výzbroje-svorkovnice)  musí být na M8 x25 (šestihranná hlava) +matice M8 + podložka Ø 8,2 x 24 + podložka pérová Ø 8,2 vše pozink.</w:t>
      </w:r>
      <w:r>
        <w:t xml:space="preserve"> Viz příloha H</w:t>
      </w:r>
      <w:r w:rsidR="00892A30">
        <w:t>.</w:t>
      </w:r>
    </w:p>
    <w:p w:rsidR="003A416B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>
        <w:t>Doprovodná dokumentace musí být v češtině a obsahovat návod na montáž, obsluhu, údržbu, certifikaci vypočítaných zátěžových hodnot, materiálový list s vyznačením chemického složení Si v oblasti 0,12 – 0,3%</w:t>
      </w:r>
      <w:r w:rsidR="00892A30">
        <w:t>.</w:t>
      </w:r>
      <w:bookmarkStart w:id="0" w:name="_Toc273611568"/>
    </w:p>
    <w:p w:rsidR="008A15B4" w:rsidRPr="003A416B" w:rsidRDefault="008A15B4" w:rsidP="003A416B">
      <w:pPr>
        <w:pStyle w:val="Bezmezer"/>
        <w:numPr>
          <w:ilvl w:val="0"/>
          <w:numId w:val="13"/>
        </w:numPr>
        <w:spacing w:afterAutospacing="0"/>
        <w:ind w:left="284" w:hanging="284"/>
        <w:rPr>
          <w:b/>
        </w:rPr>
      </w:pPr>
      <w:r w:rsidRPr="00765B20">
        <w:t>Označení stožár</w:t>
      </w:r>
      <w:bookmarkEnd w:id="0"/>
      <w:r w:rsidRPr="00765B20">
        <w:t>ů</w:t>
      </w:r>
      <w:r>
        <w:t xml:space="preserve"> musí být trvanlivé, nezdemolovatelné, obsahující tyto údaje</w:t>
      </w:r>
      <w:r w:rsidRPr="00765B20">
        <w:t>:</w:t>
      </w:r>
    </w:p>
    <w:p w:rsidR="008A15B4" w:rsidRPr="00765B20" w:rsidRDefault="008A15B4" w:rsidP="008A15B4">
      <w:pPr>
        <w:pStyle w:val="Normlnodsazen"/>
      </w:pPr>
      <w:r w:rsidRPr="00765B20">
        <w:t>Na všech stožárech musí být od výrobce výrazně a trvanlivě označeno:</w:t>
      </w:r>
    </w:p>
    <w:p w:rsidR="008A15B4" w:rsidRDefault="008A15B4" w:rsidP="008A15B4">
      <w:pPr>
        <w:pStyle w:val="Seznamsodrkamiodsazen"/>
        <w:keepLines/>
      </w:pPr>
      <w:r w:rsidRPr="00765B20">
        <w:t>jméno nebo značka</w:t>
      </w:r>
      <w:r>
        <w:t xml:space="preserve"> výrobce,</w:t>
      </w:r>
    </w:p>
    <w:p w:rsidR="008A15B4" w:rsidRDefault="008A15B4" w:rsidP="008A15B4">
      <w:pPr>
        <w:pStyle w:val="Seznamsodrkamiodsazen"/>
        <w:keepLines/>
      </w:pPr>
      <w:r>
        <w:t>rok výroby,</w:t>
      </w:r>
    </w:p>
    <w:p w:rsidR="008A15B4" w:rsidRDefault="008A15B4" w:rsidP="008A15B4">
      <w:pPr>
        <w:pStyle w:val="Seznamsodrkamiodsazen"/>
        <w:keepLines/>
      </w:pPr>
      <w:r>
        <w:t>odkaz na normu EN 40-5 a jednoznačný identifikační kód. Označení musí být vyraženo v materiálu razidlem, napsáno barvou, nebo umístěno na štítku trvanlivě připevněném na stožáru.</w:t>
      </w:r>
    </w:p>
    <w:p w:rsidR="008A15B4" w:rsidRDefault="008A15B4" w:rsidP="009F7DA7">
      <w:pPr>
        <w:pStyle w:val="Seznamsodrkamiodsazen"/>
        <w:keepLines/>
        <w:tabs>
          <w:tab w:val="clear" w:pos="1211"/>
        </w:tabs>
        <w:ind w:left="1418" w:hanging="567"/>
      </w:pPr>
      <w:r>
        <w:t>označení shody CE; musí být ve tvaru stanoveném ve směrnici Rady 93/68/EHS</w:t>
      </w:r>
      <w:r w:rsidR="008E58A9">
        <w:t>.</w:t>
      </w:r>
      <w:r>
        <w:t xml:space="preserve"> </w:t>
      </w:r>
    </w:p>
    <w:p w:rsidR="008A15B4" w:rsidRDefault="008A15B4" w:rsidP="008A15B4">
      <w:pPr>
        <w:pStyle w:val="Normlnodsazen"/>
        <w:keepLines/>
      </w:pPr>
    </w:p>
    <w:p w:rsidR="008A15B4" w:rsidRPr="00C75895" w:rsidRDefault="008A15B4" w:rsidP="008A15B4">
      <w:pPr>
        <w:pStyle w:val="Normlnodsazen"/>
        <w:keepLines/>
      </w:pPr>
      <w:r w:rsidRPr="00C75895">
        <w:t>Označení CE a připojené informace musí být umístěny na jednom z následujících míst:</w:t>
      </w:r>
    </w:p>
    <w:p w:rsidR="008A15B4" w:rsidRPr="00C75895" w:rsidRDefault="008A15B4" w:rsidP="008A15B4">
      <w:pPr>
        <w:pStyle w:val="Seznamsodrkamiodsazen"/>
        <w:keepLines/>
      </w:pPr>
      <w:r w:rsidRPr="00C75895">
        <w:t>na výrobku  samotném,</w:t>
      </w:r>
    </w:p>
    <w:p w:rsidR="008A15B4" w:rsidRPr="00C75895" w:rsidRDefault="008A15B4" w:rsidP="008A15B4">
      <w:pPr>
        <w:pStyle w:val="Seznamsodrkamiodsazen"/>
        <w:keepLines/>
      </w:pPr>
      <w:r w:rsidRPr="00C75895">
        <w:t>na štítku připevněném k výrobku,</w:t>
      </w:r>
    </w:p>
    <w:p w:rsidR="008A15B4" w:rsidRPr="00C75895" w:rsidRDefault="008A15B4" w:rsidP="008A15B4">
      <w:pPr>
        <w:pStyle w:val="Seznamsodrkamiodsazen"/>
        <w:keepLines/>
        <w:numPr>
          <w:ilvl w:val="0"/>
          <w:numId w:val="0"/>
        </w:numPr>
        <w:ind w:left="1418"/>
      </w:pPr>
    </w:p>
    <w:p w:rsidR="00344BB6" w:rsidRPr="00C75895" w:rsidRDefault="00344BB6" w:rsidP="00344BB6">
      <w:pPr>
        <w:pStyle w:val="Seznamsodrkamiodsazen"/>
        <w:keepLines/>
        <w:numPr>
          <w:ilvl w:val="0"/>
          <w:numId w:val="0"/>
        </w:numPr>
        <w:ind w:left="1418"/>
      </w:pPr>
    </w:p>
    <w:p w:rsidR="005E041D" w:rsidRDefault="005E041D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8A15B4" w:rsidRDefault="008A15B4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5E041D" w:rsidRDefault="005E041D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3A416B" w:rsidRDefault="003A416B" w:rsidP="00344BB6">
      <w:pPr>
        <w:pStyle w:val="Seznamsodrkamiodsazen"/>
        <w:keepLines/>
        <w:numPr>
          <w:ilvl w:val="0"/>
          <w:numId w:val="0"/>
        </w:numPr>
        <w:ind w:left="1418"/>
        <w:rPr>
          <w:highlight w:val="yellow"/>
        </w:rPr>
      </w:pPr>
    </w:p>
    <w:p w:rsidR="00602E18" w:rsidRDefault="00602E18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3A416B" w:rsidRDefault="003A416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D502DB" w:rsidRDefault="00D502D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D502DB" w:rsidRDefault="00D502D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  <w:bookmarkStart w:id="1" w:name="_GoBack"/>
      <w:bookmarkEnd w:id="1"/>
    </w:p>
    <w:p w:rsidR="003A416B" w:rsidRDefault="003A416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3A416B" w:rsidRDefault="003A416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3A416B" w:rsidRDefault="003A416B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</w:pPr>
    </w:p>
    <w:p w:rsidR="000C1725" w:rsidRPr="00EF3E2D" w:rsidRDefault="00602E18" w:rsidP="00EF3E2D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19587</wp:posOffset>
            </wp:positionH>
            <wp:positionV relativeFrom="paragraph">
              <wp:posOffset>127146</wp:posOffset>
            </wp:positionV>
            <wp:extent cx="5760916" cy="8848579"/>
            <wp:effectExtent l="19050" t="0" r="0" b="0"/>
            <wp:wrapNone/>
            <wp:docPr id="3" name="Obrázek 2" descr="stožár sb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žár sb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916" cy="88485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13393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Příloha A/ </w:t>
      </w:r>
      <w:r w:rsidR="009647E8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>Technicko-obchodní specifikace</w:t>
      </w:r>
      <w:r w:rsidR="005E2789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- </w:t>
      </w:r>
      <w:r w:rsidR="009647E8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sloup sadový SB5</w:t>
      </w:r>
    </w:p>
    <w:p w:rsidR="009647E8" w:rsidRDefault="009647E8" w:rsidP="009647E8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9647E8">
      <w:pPr>
        <w:pStyle w:val="Odstavecseseznamem"/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602E18" w:rsidRDefault="00602E18" w:rsidP="0000396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A416B" w:rsidRDefault="003A416B" w:rsidP="0000396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003960" w:rsidRPr="00EF3E2D" w:rsidRDefault="00602E18" w:rsidP="0000396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-43717</wp:posOffset>
            </wp:positionH>
            <wp:positionV relativeFrom="paragraph">
              <wp:posOffset>-20564</wp:posOffset>
            </wp:positionV>
            <wp:extent cx="5705915" cy="8890781"/>
            <wp:effectExtent l="19050" t="0" r="9085" b="0"/>
            <wp:wrapNone/>
            <wp:docPr id="4" name="Obrázek 3" descr="stožár j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žár jb8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5915" cy="88907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3960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Příloha </w:t>
      </w:r>
      <w:r w:rsidR="00003960">
        <w:rPr>
          <w:rFonts w:ascii="Times New Roman" w:hAnsi="Times New Roman" w:cs="Times New Roman"/>
          <w:b/>
          <w:i/>
          <w:sz w:val="24"/>
          <w:szCs w:val="24"/>
          <w:u w:val="single"/>
        </w:rPr>
        <w:t>B</w:t>
      </w:r>
      <w:r w:rsidR="00003960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/ Technicko-obchodní specifikace - </w:t>
      </w:r>
      <w:r w:rsidR="0000396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sloup sadový JB8</w:t>
      </w: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0396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003960" w:rsidRPr="00EF3E2D" w:rsidRDefault="00602E18" w:rsidP="0000396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lastRenderedPageBreak/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19587</wp:posOffset>
            </wp:positionH>
            <wp:positionV relativeFrom="paragraph">
              <wp:posOffset>77910</wp:posOffset>
            </wp:positionV>
            <wp:extent cx="5678366" cy="8890782"/>
            <wp:effectExtent l="19050" t="0" r="0" b="0"/>
            <wp:wrapNone/>
            <wp:docPr id="5" name="Obrázek 4" descr="stožár jb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ožár jb10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8366" cy="889078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3960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Příloha </w:t>
      </w:r>
      <w:r w:rsidR="00003960">
        <w:rPr>
          <w:rFonts w:ascii="Times New Roman" w:hAnsi="Times New Roman" w:cs="Times New Roman"/>
          <w:b/>
          <w:i/>
          <w:sz w:val="24"/>
          <w:szCs w:val="24"/>
          <w:u w:val="single"/>
        </w:rPr>
        <w:t>C</w:t>
      </w:r>
      <w:r w:rsidR="00003960"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/ Technicko-obchodní specifikace - </w:t>
      </w:r>
      <w:r w:rsidR="0000396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sloup sadový JB10</w:t>
      </w: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3960" w:rsidRDefault="000039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Pr="00EF3E2D" w:rsidRDefault="00765B20" w:rsidP="00765B2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lastRenderedPageBreak/>
        <w:t>Příloha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D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/ Technicko-obchodní specifikace -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výložník V1-1500</w:t>
      </w:r>
    </w:p>
    <w:p w:rsidR="000C1725" w:rsidRDefault="000C1725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132080</wp:posOffset>
            </wp:positionH>
            <wp:positionV relativeFrom="paragraph">
              <wp:posOffset>99695</wp:posOffset>
            </wp:positionV>
            <wp:extent cx="5760085" cy="4529455"/>
            <wp:effectExtent l="19050" t="0" r="0" b="0"/>
            <wp:wrapNone/>
            <wp:docPr id="9" name="Obrázek 8" descr="V1-1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1-1500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5294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cs-CZ"/>
        </w:rPr>
        <w:tab/>
      </w: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2E18" w:rsidRDefault="00602E18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95360" w:rsidRDefault="00E9536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Pr="00EF3E2D" w:rsidRDefault="005815E0" w:rsidP="005815E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>Příloha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E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/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Termoplastická manžeta</w:t>
      </w:r>
    </w:p>
    <w:p w:rsidR="005815E0" w:rsidRDefault="005815E0" w:rsidP="005815E0">
      <w:pPr>
        <w:pStyle w:val="Odstavecseseznamem"/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5815E0">
      <w:pPr>
        <w:pStyle w:val="Odstavecseseznamem"/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>Jedná se o manžetu nanášenou zatepla na žárově zinkovaný stožár. Celková síla manžety dosahuje minimálně 400 µm. Odstín man</w:t>
      </w:r>
      <w:r>
        <w:rPr>
          <w:rFonts w:ascii="Arial" w:hAnsi="Arial" w:cs="Arial"/>
          <w:sz w:val="20"/>
          <w:szCs w:val="20"/>
        </w:rPr>
        <w:t xml:space="preserve">žety RAL 7001. </w:t>
      </w: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>Před samotnou aplikací manžety se provede tzv. Sweepblazing, očištění, odmaštění a ustálení zrání žárového zinku v místě nanášení manžety.</w:t>
      </w: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 xml:space="preserve">Tavitelnost prášku je při 180°C což je podstatně nižší teplota oproti tavné lázně žárového zinku </w:t>
      </w:r>
      <w:r>
        <w:rPr>
          <w:rFonts w:ascii="Arial" w:hAnsi="Arial" w:cs="Arial"/>
          <w:sz w:val="20"/>
          <w:szCs w:val="20"/>
        </w:rPr>
        <w:t xml:space="preserve">           </w:t>
      </w:r>
      <w:r w:rsidRPr="009647E8">
        <w:rPr>
          <w:rFonts w:ascii="Arial" w:hAnsi="Arial" w:cs="Arial"/>
          <w:sz w:val="20"/>
          <w:szCs w:val="20"/>
        </w:rPr>
        <w:t>– nedochází tak k narušení zinkového povlaku.</w:t>
      </w: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 xml:space="preserve">Složení manžety je termoplastický prášek  </w:t>
      </w:r>
      <w:r w:rsidR="003A1635">
        <w:rPr>
          <w:rFonts w:ascii="Arial" w:hAnsi="Arial" w:cs="Arial"/>
          <w:sz w:val="20"/>
          <w:szCs w:val="20"/>
        </w:rPr>
        <w:t xml:space="preserve">(např. ICOSA) </w:t>
      </w:r>
      <w:r w:rsidRPr="009647E8">
        <w:rPr>
          <w:rFonts w:ascii="Arial" w:hAnsi="Arial" w:cs="Arial"/>
          <w:sz w:val="20"/>
          <w:szCs w:val="20"/>
        </w:rPr>
        <w:t xml:space="preserve">speciálně vyvinutý na ochranu spodní části stožáru u vetknutí na bázi modifikovaných polyolefínů. </w:t>
      </w: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>Vyniká zejména vysokou přilnavostí, mechanickou odolností, otěruvzdorností, nárazuvzdorností a má vysoký stupeň elektrické izolace.</w:t>
      </w:r>
    </w:p>
    <w:p w:rsidR="005815E0" w:rsidRPr="009647E8" w:rsidRDefault="005815E0" w:rsidP="005815E0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 xml:space="preserve">Tvrdost povrchu manžety dosahuje </w:t>
      </w:r>
      <w:r>
        <w:rPr>
          <w:rFonts w:ascii="Arial" w:hAnsi="Arial" w:cs="Arial"/>
          <w:sz w:val="20"/>
          <w:szCs w:val="20"/>
        </w:rPr>
        <w:t xml:space="preserve">min. </w:t>
      </w:r>
      <w:r w:rsidRPr="009647E8">
        <w:rPr>
          <w:rFonts w:ascii="Arial" w:hAnsi="Arial" w:cs="Arial"/>
          <w:sz w:val="20"/>
          <w:szCs w:val="20"/>
        </w:rPr>
        <w:t>77 Shore D.</w:t>
      </w:r>
    </w:p>
    <w:p w:rsidR="0006657D" w:rsidRDefault="005815E0" w:rsidP="005815E0">
      <w:pPr>
        <w:jc w:val="both"/>
        <w:rPr>
          <w:rFonts w:ascii="Arial" w:hAnsi="Arial" w:cs="Arial"/>
          <w:sz w:val="24"/>
          <w:szCs w:val="24"/>
          <w:vertAlign w:val="superscript"/>
        </w:rPr>
      </w:pPr>
      <w:r w:rsidRPr="009647E8">
        <w:rPr>
          <w:rFonts w:ascii="Arial" w:hAnsi="Arial" w:cs="Arial"/>
          <w:sz w:val="20"/>
          <w:szCs w:val="20"/>
        </w:rPr>
        <w:t xml:space="preserve">Ohmický odpor </w:t>
      </w:r>
      <w:r>
        <w:rPr>
          <w:rFonts w:ascii="Arial" w:hAnsi="Arial" w:cs="Arial"/>
          <w:sz w:val="20"/>
          <w:szCs w:val="20"/>
        </w:rPr>
        <w:t xml:space="preserve">min. </w:t>
      </w:r>
      <w:r w:rsidRPr="009647E8">
        <w:rPr>
          <w:rFonts w:ascii="Arial" w:hAnsi="Arial" w:cs="Arial"/>
          <w:sz w:val="20"/>
          <w:szCs w:val="20"/>
        </w:rPr>
        <w:t>10</w:t>
      </w:r>
      <w:r w:rsidRPr="009647E8">
        <w:rPr>
          <w:rFonts w:ascii="Arial" w:hAnsi="Arial" w:cs="Arial"/>
          <w:sz w:val="20"/>
          <w:szCs w:val="20"/>
          <w:vertAlign w:val="superscript"/>
        </w:rPr>
        <w:t>15</w:t>
      </w:r>
      <w:r w:rsidRPr="009647E8">
        <w:rPr>
          <w:rFonts w:ascii="Arial" w:hAnsi="Arial" w:cs="Arial"/>
          <w:sz w:val="20"/>
          <w:szCs w:val="20"/>
        </w:rPr>
        <w:t xml:space="preserve"> Ω/cm</w:t>
      </w:r>
      <w:r w:rsidRPr="009647E8">
        <w:rPr>
          <w:rFonts w:ascii="Arial" w:hAnsi="Arial" w:cs="Arial"/>
          <w:sz w:val="24"/>
          <w:szCs w:val="24"/>
          <w:vertAlign w:val="superscript"/>
        </w:rPr>
        <w:t>2</w:t>
      </w:r>
      <w:r w:rsidR="00892A30" w:rsidRPr="00892A30">
        <w:rPr>
          <w:rFonts w:ascii="Arial" w:hAnsi="Arial" w:cs="Arial"/>
          <w:sz w:val="20"/>
          <w:szCs w:val="20"/>
        </w:rPr>
        <w:t xml:space="preserve"> </w:t>
      </w:r>
    </w:p>
    <w:p w:rsidR="0006657D" w:rsidRPr="009647E8" w:rsidRDefault="0006657D" w:rsidP="005815E0">
      <w:pPr>
        <w:jc w:val="both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0"/>
          <w:szCs w:val="20"/>
        </w:rPr>
        <w:t>Termoplastická manžeta bude nanesena v rozsahu od spodní hrany stožáru po spodní hranu dvířek</w:t>
      </w:r>
    </w:p>
    <w:p w:rsidR="005815E0" w:rsidRDefault="00AC4ECF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-142240</wp:posOffset>
            </wp:positionH>
            <wp:positionV relativeFrom="paragraph">
              <wp:posOffset>147320</wp:posOffset>
            </wp:positionV>
            <wp:extent cx="5755640" cy="3270250"/>
            <wp:effectExtent l="19050" t="0" r="0" b="0"/>
            <wp:wrapNone/>
            <wp:docPr id="13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5640" cy="327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Pr="00AC4ECF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5815E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>Příloha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F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/ </w:t>
      </w:r>
      <w:r w:rsidR="00DA7052">
        <w:rPr>
          <w:rFonts w:ascii="Times New Roman" w:hAnsi="Times New Roman" w:cs="Times New Roman"/>
          <w:b/>
          <w:i/>
          <w:sz w:val="24"/>
          <w:szCs w:val="24"/>
          <w:u w:val="single"/>
        </w:rPr>
        <w:t>Speciální nátěr v bodě vetknutí</w:t>
      </w:r>
    </w:p>
    <w:p w:rsidR="003A1635" w:rsidRDefault="003A1635" w:rsidP="005815E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3A1635" w:rsidRDefault="003A1635" w:rsidP="005815E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B344A6" w:rsidRDefault="00B344A6" w:rsidP="00DA7052">
      <w:pPr>
        <w:jc w:val="both"/>
        <w:rPr>
          <w:rFonts w:ascii="Arial" w:hAnsi="Arial" w:cs="Arial"/>
          <w:sz w:val="20"/>
          <w:szCs w:val="20"/>
        </w:rPr>
      </w:pPr>
      <w:r w:rsidRPr="00B344A6">
        <w:rPr>
          <w:rFonts w:ascii="Arial" w:hAnsi="Arial" w:cs="Arial"/>
          <w:sz w:val="20"/>
          <w:szCs w:val="20"/>
        </w:rPr>
        <w:t xml:space="preserve">Jedná se o </w:t>
      </w:r>
      <w:r>
        <w:rPr>
          <w:rFonts w:ascii="Arial" w:hAnsi="Arial" w:cs="Arial"/>
          <w:sz w:val="20"/>
          <w:szCs w:val="20"/>
        </w:rPr>
        <w:t xml:space="preserve">doplnění zinkového povlaku o nátěr </w:t>
      </w:r>
      <w:r w:rsidRPr="00B344A6">
        <w:rPr>
          <w:rFonts w:ascii="Arial" w:hAnsi="Arial" w:cs="Arial"/>
          <w:sz w:val="20"/>
          <w:szCs w:val="20"/>
        </w:rPr>
        <w:t xml:space="preserve">dvousložkovou </w:t>
      </w:r>
      <w:r>
        <w:rPr>
          <w:rFonts w:ascii="Arial" w:hAnsi="Arial" w:cs="Arial"/>
          <w:sz w:val="20"/>
          <w:szCs w:val="20"/>
        </w:rPr>
        <w:t xml:space="preserve">epoxidovou základní barvou v suché tloušťce 160 </w:t>
      </w:r>
      <w:r w:rsidRPr="00B344A6">
        <w:rPr>
          <w:rFonts w:ascii="Arial" w:hAnsi="Arial" w:cs="Arial"/>
          <w:sz w:val="20"/>
          <w:szCs w:val="20"/>
        </w:rPr>
        <w:t xml:space="preserve">µm </w:t>
      </w:r>
      <w:r>
        <w:rPr>
          <w:rFonts w:ascii="Arial" w:hAnsi="Arial" w:cs="Arial"/>
          <w:sz w:val="20"/>
          <w:szCs w:val="20"/>
        </w:rPr>
        <w:t xml:space="preserve">a dvousložkovou </w:t>
      </w:r>
      <w:r w:rsidRPr="00B344A6">
        <w:rPr>
          <w:rFonts w:ascii="Arial" w:hAnsi="Arial" w:cs="Arial"/>
          <w:sz w:val="20"/>
          <w:szCs w:val="20"/>
        </w:rPr>
        <w:t xml:space="preserve">polyuretanovou barvu o minimální </w:t>
      </w:r>
      <w:r>
        <w:rPr>
          <w:rFonts w:ascii="Arial" w:hAnsi="Arial" w:cs="Arial"/>
          <w:sz w:val="20"/>
          <w:szCs w:val="20"/>
        </w:rPr>
        <w:t xml:space="preserve">suché </w:t>
      </w:r>
      <w:r w:rsidRPr="00B344A6">
        <w:rPr>
          <w:rFonts w:ascii="Arial" w:hAnsi="Arial" w:cs="Arial"/>
          <w:sz w:val="20"/>
          <w:szCs w:val="20"/>
        </w:rPr>
        <w:t xml:space="preserve">tloušťce </w:t>
      </w:r>
      <w:r>
        <w:rPr>
          <w:rFonts w:ascii="Arial" w:hAnsi="Arial" w:cs="Arial"/>
          <w:sz w:val="20"/>
          <w:szCs w:val="20"/>
        </w:rPr>
        <w:t>5</w:t>
      </w:r>
      <w:r w:rsidRPr="00B344A6">
        <w:rPr>
          <w:rFonts w:ascii="Arial" w:hAnsi="Arial" w:cs="Arial"/>
          <w:sz w:val="20"/>
          <w:szCs w:val="20"/>
        </w:rPr>
        <w:t>0 µm, která v korozním zatížení C5 (dle ČSN EN ISO 12944) vykazuje stálobarevnost a vysokou životnost.</w:t>
      </w:r>
      <w:r w:rsidR="00DA7052" w:rsidRPr="00DA7052">
        <w:rPr>
          <w:rFonts w:ascii="Arial" w:hAnsi="Arial" w:cs="Arial"/>
          <w:sz w:val="20"/>
          <w:szCs w:val="20"/>
        </w:rPr>
        <w:t xml:space="preserve"> </w:t>
      </w:r>
    </w:p>
    <w:p w:rsidR="000D019C" w:rsidRDefault="000D019C" w:rsidP="00DA7052">
      <w:pPr>
        <w:jc w:val="both"/>
        <w:rPr>
          <w:rFonts w:ascii="Arial" w:hAnsi="Arial" w:cs="Arial"/>
          <w:sz w:val="20"/>
          <w:szCs w:val="20"/>
        </w:rPr>
      </w:pPr>
      <w:r w:rsidRPr="000D019C">
        <w:rPr>
          <w:rFonts w:ascii="Arial" w:hAnsi="Arial" w:cs="Arial"/>
          <w:sz w:val="20"/>
          <w:szCs w:val="20"/>
        </w:rPr>
        <w:t xml:space="preserve">Nutný předpoklad je dobrá přilnavost </w:t>
      </w:r>
      <w:r>
        <w:rPr>
          <w:rFonts w:ascii="Arial" w:hAnsi="Arial" w:cs="Arial"/>
          <w:sz w:val="20"/>
          <w:szCs w:val="20"/>
        </w:rPr>
        <w:t>nátěru -</w:t>
      </w:r>
      <w:r w:rsidRPr="000D019C">
        <w:rPr>
          <w:rFonts w:ascii="Arial" w:hAnsi="Arial" w:cs="Arial"/>
          <w:sz w:val="20"/>
          <w:szCs w:val="20"/>
        </w:rPr>
        <w:t xml:space="preserve"> nutnost předúpravy povrchu čištěním a odmaštěním, popřípadě tryskání křemičitým pískem</w:t>
      </w:r>
      <w:r>
        <w:rPr>
          <w:rFonts w:ascii="Arial" w:hAnsi="Arial" w:cs="Arial"/>
          <w:sz w:val="20"/>
          <w:szCs w:val="20"/>
        </w:rPr>
        <w:t>.</w:t>
      </w:r>
    </w:p>
    <w:p w:rsidR="00B344A6" w:rsidRDefault="00B344A6" w:rsidP="00DA7052">
      <w:pPr>
        <w:jc w:val="both"/>
        <w:rPr>
          <w:rFonts w:ascii="Arial" w:hAnsi="Arial" w:cs="Arial"/>
          <w:sz w:val="20"/>
          <w:szCs w:val="20"/>
        </w:rPr>
      </w:pPr>
      <w:r w:rsidRPr="009647E8">
        <w:rPr>
          <w:rFonts w:ascii="Arial" w:hAnsi="Arial" w:cs="Arial"/>
          <w:sz w:val="20"/>
          <w:szCs w:val="20"/>
        </w:rPr>
        <w:t xml:space="preserve">Odstín </w:t>
      </w:r>
      <w:r>
        <w:rPr>
          <w:rFonts w:ascii="Arial" w:hAnsi="Arial" w:cs="Arial"/>
          <w:sz w:val="20"/>
          <w:szCs w:val="20"/>
        </w:rPr>
        <w:t>nátěru RAL 7001</w:t>
      </w:r>
    </w:p>
    <w:p w:rsidR="00DA7052" w:rsidRPr="009647E8" w:rsidRDefault="00DA7052" w:rsidP="00DA7052">
      <w:pPr>
        <w:jc w:val="both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0"/>
          <w:szCs w:val="20"/>
        </w:rPr>
        <w:t xml:space="preserve">Nátěr bude proveden v rozsahu od spodní hrany stožáru po </w:t>
      </w:r>
      <w:r w:rsidR="00B877C1">
        <w:rPr>
          <w:rFonts w:ascii="Arial" w:hAnsi="Arial" w:cs="Arial"/>
          <w:sz w:val="20"/>
          <w:szCs w:val="20"/>
        </w:rPr>
        <w:t>s</w:t>
      </w:r>
      <w:r>
        <w:rPr>
          <w:rFonts w:ascii="Arial" w:hAnsi="Arial" w:cs="Arial"/>
          <w:sz w:val="20"/>
          <w:szCs w:val="20"/>
        </w:rPr>
        <w:t>podní hranu dvířek.</w:t>
      </w:r>
    </w:p>
    <w:p w:rsidR="005815E0" w:rsidRDefault="005815E0" w:rsidP="005815E0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Pr="00B344A6" w:rsidRDefault="005815E0" w:rsidP="00B344A6">
      <w:pPr>
        <w:jc w:val="both"/>
        <w:rPr>
          <w:rFonts w:ascii="Arial" w:hAnsi="Arial" w:cs="Arial"/>
          <w:sz w:val="20"/>
          <w:szCs w:val="20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A15B4" w:rsidRDefault="008A15B4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15E0" w:rsidRDefault="005815E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D18DC" w:rsidRPr="00EF3E2D" w:rsidRDefault="003D18DC" w:rsidP="003D18DC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>Přílo</w:t>
      </w:r>
      <w:r w:rsidR="005815E0">
        <w:rPr>
          <w:rFonts w:ascii="Times New Roman" w:hAnsi="Times New Roman" w:cs="Times New Roman"/>
          <w:b/>
          <w:i/>
          <w:sz w:val="24"/>
          <w:szCs w:val="24"/>
          <w:u w:val="single"/>
        </w:rPr>
        <w:t>h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>a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5815E0">
        <w:rPr>
          <w:rFonts w:ascii="Times New Roman" w:hAnsi="Times New Roman" w:cs="Times New Roman"/>
          <w:b/>
          <w:i/>
          <w:sz w:val="24"/>
          <w:szCs w:val="24"/>
          <w:u w:val="single"/>
        </w:rPr>
        <w:t>G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/ Technicko-obchodní specifikace -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Vstup pro zásuvku GESIS</w:t>
      </w: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5B20" w:rsidRDefault="00765B20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3393" w:rsidRDefault="00113393" w:rsidP="000C1725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cs-CZ"/>
        </w:rPr>
      </w:pPr>
    </w:p>
    <w:p w:rsidR="00A112E4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drawing>
          <wp:inline distT="0" distB="0" distL="0" distR="0">
            <wp:extent cx="5760720" cy="3707765"/>
            <wp:effectExtent l="19050" t="0" r="0" b="0"/>
            <wp:docPr id="7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707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F7105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F7105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F7105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F7105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F7105" w:rsidRDefault="00FF7105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Pr="00A112E4" w:rsidRDefault="00A112E4" w:rsidP="00A112E4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Default="00A112E4" w:rsidP="00A112E4">
      <w:pPr>
        <w:pStyle w:val="Odstavecseseznamem"/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112E4" w:rsidRPr="00A112E4" w:rsidRDefault="00A112E4" w:rsidP="00A112E4">
      <w:pPr>
        <w:pStyle w:val="Odstavecseseznamem"/>
        <w:autoSpaceDE w:val="0"/>
        <w:autoSpaceDN w:val="0"/>
        <w:adjustRightInd w:val="0"/>
        <w:spacing w:after="0" w:afterAutospacing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112E4" w:rsidRDefault="00A112E4" w:rsidP="00A112E4">
      <w:pPr>
        <w:pStyle w:val="Odstavecseseznamem"/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Příloha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>H</w:t>
      </w:r>
      <w:r w:rsidRPr="00EF3E2D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/ Technicko-obchodní specifikace - </w:t>
      </w: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94735F">
        <w:rPr>
          <w:rFonts w:ascii="Times New Roman" w:hAnsi="Times New Roman" w:cs="Times New Roman"/>
          <w:b/>
          <w:i/>
          <w:sz w:val="24"/>
          <w:szCs w:val="24"/>
          <w:u w:val="single"/>
        </w:rPr>
        <w:t>Vnitřní prostor stožáru pro uchycení svorkovnice</w:t>
      </w: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D57270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t xml:space="preserve"> </w:t>
      </w:r>
    </w:p>
    <w:p w:rsidR="00AC4ECF" w:rsidRDefault="0094735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u w:val="single"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-36830</wp:posOffset>
            </wp:positionH>
            <wp:positionV relativeFrom="paragraph">
              <wp:posOffset>166370</wp:posOffset>
            </wp:positionV>
            <wp:extent cx="5760085" cy="4916170"/>
            <wp:effectExtent l="19050" t="0" r="0" b="0"/>
            <wp:wrapNone/>
            <wp:docPr id="15" name="Obrázek 14" descr="dvířka pro uchycení svorkovn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vířka pro uchycení svorkovnice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4916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C4ECF" w:rsidRDefault="00AC4ECF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AC4ECF" w:rsidRDefault="00B65AC7" w:rsidP="00AC4ECF">
      <w:pPr>
        <w:autoSpaceDE w:val="0"/>
        <w:autoSpaceDN w:val="0"/>
        <w:adjustRightInd w:val="0"/>
        <w:spacing w:after="0" w:afterAutospacing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</w:p>
    <w:sectPr w:rsidR="00AC4ECF" w:rsidSect="003A416B">
      <w:headerReference w:type="default" r:id="rId15"/>
      <w:footerReference w:type="default" r:id="rId16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E55" w:rsidRDefault="00DB5E55" w:rsidP="00DB5E55">
      <w:pPr>
        <w:spacing w:after="0" w:line="240" w:lineRule="auto"/>
      </w:pPr>
      <w:r>
        <w:separator/>
      </w:r>
    </w:p>
  </w:endnote>
  <w:endnote w:type="continuationSeparator" w:id="0">
    <w:p w:rsidR="00DB5E55" w:rsidRDefault="00DB5E55" w:rsidP="00DB5E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01917515"/>
      <w:docPartObj>
        <w:docPartGallery w:val="Page Numbers (Bottom of Page)"/>
        <w:docPartUnique/>
      </w:docPartObj>
    </w:sdtPr>
    <w:sdtEndPr/>
    <w:sdtContent>
      <w:p w:rsidR="003A416B" w:rsidRDefault="003A416B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02DB">
          <w:rPr>
            <w:noProof/>
          </w:rPr>
          <w:t>1</w:t>
        </w:r>
        <w:r>
          <w:fldChar w:fldCharType="end"/>
        </w:r>
      </w:p>
    </w:sdtContent>
  </w:sdt>
  <w:p w:rsidR="003A416B" w:rsidRDefault="003A416B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E55" w:rsidRDefault="00DB5E55" w:rsidP="00DB5E55">
      <w:pPr>
        <w:spacing w:after="0" w:line="240" w:lineRule="auto"/>
      </w:pPr>
      <w:r>
        <w:separator/>
      </w:r>
    </w:p>
  </w:footnote>
  <w:footnote w:type="continuationSeparator" w:id="0">
    <w:p w:rsidR="00DB5E55" w:rsidRDefault="00DB5E55" w:rsidP="00DB5E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E55" w:rsidRDefault="00DB5E55" w:rsidP="00DB5E55">
    <w:pPr>
      <w:pStyle w:val="Zhlav"/>
      <w:jc w:val="right"/>
    </w:pPr>
    <w:r>
      <w:t>Příloha č.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B0497"/>
    <w:multiLevelType w:val="hybridMultilevel"/>
    <w:tmpl w:val="BBB8047C"/>
    <w:lvl w:ilvl="0" w:tplc="83B412CA">
      <w:start w:val="1"/>
      <w:numFmt w:val="lowerLetter"/>
      <w:pStyle w:val="slsezn1psmena"/>
      <w:lvlText w:val="%1)"/>
      <w:lvlJc w:val="left"/>
      <w:pPr>
        <w:tabs>
          <w:tab w:val="num" w:pos="644"/>
        </w:tabs>
        <w:ind w:left="568" w:hanging="284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FF37E0E"/>
    <w:multiLevelType w:val="multilevel"/>
    <w:tmpl w:val="58C043E6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22137CB"/>
    <w:multiLevelType w:val="multilevel"/>
    <w:tmpl w:val="32A2C09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BC6380F"/>
    <w:multiLevelType w:val="hybridMultilevel"/>
    <w:tmpl w:val="55D893CC"/>
    <w:lvl w:ilvl="0" w:tplc="A6C8E9DA">
      <w:start w:val="1"/>
      <w:numFmt w:val="lowerLetter"/>
      <w:lvlText w:val="%1)"/>
      <w:lvlJc w:val="left"/>
      <w:pPr>
        <w:tabs>
          <w:tab w:val="num" w:pos="1047"/>
        </w:tabs>
        <w:ind w:left="1047" w:hanging="360"/>
      </w:pPr>
      <w:rPr>
        <w:rFonts w:cs="Times New Roman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767"/>
        </w:tabs>
        <w:ind w:left="1767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487"/>
        </w:tabs>
        <w:ind w:left="2487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3207"/>
        </w:tabs>
        <w:ind w:left="3207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927"/>
        </w:tabs>
        <w:ind w:left="3927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647"/>
        </w:tabs>
        <w:ind w:left="4647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367"/>
        </w:tabs>
        <w:ind w:left="5367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6087"/>
        </w:tabs>
        <w:ind w:left="6087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807"/>
        </w:tabs>
        <w:ind w:left="6807" w:hanging="180"/>
      </w:pPr>
      <w:rPr>
        <w:rFonts w:cs="Times New Roman"/>
      </w:rPr>
    </w:lvl>
  </w:abstractNum>
  <w:abstractNum w:abstractNumId="4" w15:restartNumberingAfterBreak="0">
    <w:nsid w:val="280F0234"/>
    <w:multiLevelType w:val="hybridMultilevel"/>
    <w:tmpl w:val="634607C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F322DA"/>
    <w:multiLevelType w:val="hybridMultilevel"/>
    <w:tmpl w:val="510E0198"/>
    <w:lvl w:ilvl="0" w:tplc="29BC7202">
      <w:start w:val="4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D08177D"/>
    <w:multiLevelType w:val="multilevel"/>
    <w:tmpl w:val="BCE424B8"/>
    <w:lvl w:ilvl="0">
      <w:start w:val="1"/>
      <w:numFmt w:val="bullet"/>
      <w:lvlText w:val=""/>
      <w:lvlJc w:val="left"/>
      <w:pPr>
        <w:tabs>
          <w:tab w:val="num" w:pos="1211"/>
        </w:tabs>
        <w:ind w:left="1871" w:hanging="170"/>
      </w:pPr>
      <w:rPr>
        <w:rFonts w:ascii="Symbol" w:hAnsi="Symbol" w:hint="default"/>
        <w:b w:val="0"/>
        <w:i w:val="0"/>
        <w:color w:val="auto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984863"/>
    <w:multiLevelType w:val="hybridMultilevel"/>
    <w:tmpl w:val="09463696"/>
    <w:lvl w:ilvl="0" w:tplc="E7FA0108">
      <w:start w:val="5"/>
      <w:numFmt w:val="bullet"/>
      <w:lvlText w:val="-"/>
      <w:lvlJc w:val="left"/>
      <w:pPr>
        <w:ind w:left="177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7039066A"/>
    <w:multiLevelType w:val="hybridMultilevel"/>
    <w:tmpl w:val="91CCB84A"/>
    <w:lvl w:ilvl="0" w:tplc="FFFFFFFF">
      <w:start w:val="1"/>
      <w:numFmt w:val="bullet"/>
      <w:pStyle w:val="Seznamsodrkami"/>
      <w:lvlText w:val=""/>
      <w:lvlJc w:val="left"/>
      <w:pPr>
        <w:tabs>
          <w:tab w:val="num" w:pos="1211"/>
        </w:tabs>
        <w:ind w:left="1134" w:hanging="283"/>
      </w:pPr>
      <w:rPr>
        <w:rFonts w:ascii="Wingdings" w:hAnsi="Wingdings" w:hint="default"/>
        <w:b w:val="0"/>
        <w:i w:val="0"/>
        <w:sz w:val="22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7A0B49"/>
    <w:multiLevelType w:val="hybridMultilevel"/>
    <w:tmpl w:val="7228D7CA"/>
    <w:lvl w:ilvl="0" w:tplc="E2F437E2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6716A1"/>
    <w:multiLevelType w:val="hybridMultilevel"/>
    <w:tmpl w:val="71EAB012"/>
    <w:lvl w:ilvl="0" w:tplc="AF7A7EC2">
      <w:start w:val="2"/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7C354536"/>
    <w:multiLevelType w:val="multilevel"/>
    <w:tmpl w:val="20D60068"/>
    <w:lvl w:ilvl="0">
      <w:start w:val="1"/>
      <w:numFmt w:val="decimal"/>
      <w:pStyle w:val="Nadpis1"/>
      <w:isLgl/>
      <w:lvlText w:val="%1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vertAlign w:val="baseline"/>
      </w:rPr>
    </w:lvl>
    <w:lvl w:ilvl="1">
      <w:start w:val="1"/>
      <w:numFmt w:val="decimal"/>
      <w:pStyle w:val="Nadpis2"/>
      <w:isLgl/>
      <w:lvlText w:val="%1.%2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8"/>
        <w:u w:val="none"/>
        <w:vertAlign w:val="baseline"/>
      </w:rPr>
    </w:lvl>
    <w:lvl w:ilvl="2">
      <w:start w:val="1"/>
      <w:numFmt w:val="decimal"/>
      <w:pStyle w:val="Nadpis3"/>
      <w:isLgl/>
      <w:lvlText w:val="%1.%2.%3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pStyle w:val="Nadpis4"/>
      <w:isLgl/>
      <w:lvlText w:val="%1.%2.%3.%4"/>
      <w:lvlJc w:val="left"/>
      <w:pPr>
        <w:tabs>
          <w:tab w:val="num" w:pos="851"/>
        </w:tabs>
        <w:ind w:left="851" w:hanging="851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851" w:hanging="851"/>
      </w:pPr>
      <w:rPr>
        <w:rFonts w:ascii="Tahoma" w:hAnsi="Tahoma" w:cs="Times New Roman" w:hint="default"/>
        <w:b w:val="0"/>
        <w:i w:val="0"/>
        <w:color w:val="auto"/>
        <w:sz w:val="20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2003"/>
        </w:tabs>
        <w:ind w:left="2003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47"/>
        </w:tabs>
        <w:ind w:left="2147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291"/>
        </w:tabs>
        <w:ind w:left="2291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435"/>
        </w:tabs>
        <w:ind w:left="2435" w:hanging="1584"/>
      </w:pPr>
      <w:rPr>
        <w:rFonts w:cs="Times New Roman" w:hint="default"/>
      </w:rPr>
    </w:lvl>
  </w:abstractNum>
  <w:num w:numId="1">
    <w:abstractNumId w:val="4"/>
  </w:num>
  <w:num w:numId="2">
    <w:abstractNumId w:val="10"/>
  </w:num>
  <w:num w:numId="3">
    <w:abstractNumId w:val="7"/>
  </w:num>
  <w:num w:numId="4">
    <w:abstractNumId w:val="8"/>
  </w:num>
  <w:num w:numId="5">
    <w:abstractNumId w:val="0"/>
  </w:num>
  <w:num w:numId="6">
    <w:abstractNumId w:val="11"/>
  </w:num>
  <w:num w:numId="7">
    <w:abstractNumId w:val="6"/>
  </w:num>
  <w:num w:numId="8">
    <w:abstractNumId w:val="3"/>
  </w:num>
  <w:num w:numId="9">
    <w:abstractNumId w:val="1"/>
  </w:num>
  <w:num w:numId="10">
    <w:abstractNumId w:val="2"/>
  </w:num>
  <w:num w:numId="11">
    <w:abstractNumId w:val="5"/>
  </w:num>
  <w:num w:numId="12">
    <w:abstractNumId w:val="8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A02B8"/>
    <w:rsid w:val="00003960"/>
    <w:rsid w:val="0003566E"/>
    <w:rsid w:val="0006657D"/>
    <w:rsid w:val="00066830"/>
    <w:rsid w:val="000745DA"/>
    <w:rsid w:val="000900A5"/>
    <w:rsid w:val="000A02B8"/>
    <w:rsid w:val="000C1725"/>
    <w:rsid w:val="000D019C"/>
    <w:rsid w:val="000E0EBB"/>
    <w:rsid w:val="00113393"/>
    <w:rsid w:val="00116A5F"/>
    <w:rsid w:val="001358A1"/>
    <w:rsid w:val="00141A6B"/>
    <w:rsid w:val="0017530E"/>
    <w:rsid w:val="00175B1E"/>
    <w:rsid w:val="001858F6"/>
    <w:rsid w:val="00201EDC"/>
    <w:rsid w:val="00203A31"/>
    <w:rsid w:val="00286B43"/>
    <w:rsid w:val="002E4F66"/>
    <w:rsid w:val="00305EB2"/>
    <w:rsid w:val="00344BB6"/>
    <w:rsid w:val="003A1635"/>
    <w:rsid w:val="003A416B"/>
    <w:rsid w:val="003D18DC"/>
    <w:rsid w:val="00424C78"/>
    <w:rsid w:val="004A4663"/>
    <w:rsid w:val="004C1EF5"/>
    <w:rsid w:val="004C7332"/>
    <w:rsid w:val="004E2EFE"/>
    <w:rsid w:val="00574303"/>
    <w:rsid w:val="00577726"/>
    <w:rsid w:val="005815E0"/>
    <w:rsid w:val="005E041D"/>
    <w:rsid w:val="005E2789"/>
    <w:rsid w:val="00602E18"/>
    <w:rsid w:val="006301D2"/>
    <w:rsid w:val="006429C1"/>
    <w:rsid w:val="00652D35"/>
    <w:rsid w:val="00673A18"/>
    <w:rsid w:val="006A177A"/>
    <w:rsid w:val="006E22B5"/>
    <w:rsid w:val="00707A9D"/>
    <w:rsid w:val="00765B20"/>
    <w:rsid w:val="007779D7"/>
    <w:rsid w:val="00787009"/>
    <w:rsid w:val="007964C2"/>
    <w:rsid w:val="007D6A5D"/>
    <w:rsid w:val="008556E5"/>
    <w:rsid w:val="00855D2D"/>
    <w:rsid w:val="00892A30"/>
    <w:rsid w:val="008A15B4"/>
    <w:rsid w:val="008C0449"/>
    <w:rsid w:val="008E58A9"/>
    <w:rsid w:val="00915645"/>
    <w:rsid w:val="00926CC7"/>
    <w:rsid w:val="00941C72"/>
    <w:rsid w:val="0094735F"/>
    <w:rsid w:val="009647E8"/>
    <w:rsid w:val="00984D40"/>
    <w:rsid w:val="0098671B"/>
    <w:rsid w:val="009F7DA7"/>
    <w:rsid w:val="00A112E4"/>
    <w:rsid w:val="00A33093"/>
    <w:rsid w:val="00A83519"/>
    <w:rsid w:val="00AC4ECF"/>
    <w:rsid w:val="00AD687D"/>
    <w:rsid w:val="00AD6E9E"/>
    <w:rsid w:val="00B15363"/>
    <w:rsid w:val="00B344A6"/>
    <w:rsid w:val="00B35C39"/>
    <w:rsid w:val="00B5566C"/>
    <w:rsid w:val="00B65AC7"/>
    <w:rsid w:val="00B877C1"/>
    <w:rsid w:val="00B9433C"/>
    <w:rsid w:val="00BD6D4A"/>
    <w:rsid w:val="00BF5F00"/>
    <w:rsid w:val="00C120C0"/>
    <w:rsid w:val="00C75895"/>
    <w:rsid w:val="00CA6BE8"/>
    <w:rsid w:val="00CF1184"/>
    <w:rsid w:val="00D502DB"/>
    <w:rsid w:val="00D57270"/>
    <w:rsid w:val="00D6347B"/>
    <w:rsid w:val="00DA3781"/>
    <w:rsid w:val="00DA7052"/>
    <w:rsid w:val="00DB5E55"/>
    <w:rsid w:val="00DE2288"/>
    <w:rsid w:val="00E64E22"/>
    <w:rsid w:val="00E95360"/>
    <w:rsid w:val="00EA13F3"/>
    <w:rsid w:val="00EC5487"/>
    <w:rsid w:val="00EF3742"/>
    <w:rsid w:val="00EF3E2D"/>
    <w:rsid w:val="00F91DCD"/>
    <w:rsid w:val="00FF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33832E15-C6EA-4AF9-863C-F4DEB0457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00" w:afterAutospacing="1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A3781"/>
  </w:style>
  <w:style w:type="paragraph" w:styleId="Nadpis1">
    <w:name w:val="heading 1"/>
    <w:aliases w:val="(Kapitola)"/>
    <w:basedOn w:val="Normln"/>
    <w:next w:val="Normlnodsazen"/>
    <w:link w:val="Nadpis1Char"/>
    <w:uiPriority w:val="9"/>
    <w:qFormat/>
    <w:rsid w:val="001858F6"/>
    <w:pPr>
      <w:numPr>
        <w:numId w:val="6"/>
      </w:numPr>
      <w:spacing w:before="600" w:after="240" w:afterAutospacing="0" w:line="240" w:lineRule="auto"/>
      <w:outlineLvl w:val="0"/>
    </w:pPr>
    <w:rPr>
      <w:rFonts w:ascii="Times New Roman" w:eastAsia="Times New Roman" w:hAnsi="Times New Roman" w:cs="Times New Roman"/>
      <w:b/>
      <w:caps/>
      <w:kern w:val="28"/>
      <w:sz w:val="28"/>
      <w:szCs w:val="20"/>
      <w:lang w:eastAsia="cs-CZ"/>
    </w:rPr>
  </w:style>
  <w:style w:type="paragraph" w:styleId="Nadpis2">
    <w:name w:val="heading 2"/>
    <w:aliases w:val="(Oddíl)"/>
    <w:basedOn w:val="Normln"/>
    <w:next w:val="Normlnodsazen"/>
    <w:link w:val="Nadpis2Char"/>
    <w:uiPriority w:val="9"/>
    <w:qFormat/>
    <w:rsid w:val="001858F6"/>
    <w:pPr>
      <w:keepNext/>
      <w:numPr>
        <w:ilvl w:val="1"/>
        <w:numId w:val="6"/>
      </w:numPr>
      <w:spacing w:before="360" w:after="60" w:afterAutospacing="0" w:line="240" w:lineRule="auto"/>
      <w:outlineLvl w:val="1"/>
    </w:pPr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Nadpis3">
    <w:name w:val="heading 3"/>
    <w:aliases w:val="(Číslovaný odstavec)"/>
    <w:basedOn w:val="Normln"/>
    <w:next w:val="Normlnodsazen"/>
    <w:link w:val="Nadpis3Char"/>
    <w:uiPriority w:val="9"/>
    <w:qFormat/>
    <w:rsid w:val="001858F6"/>
    <w:pPr>
      <w:keepNext/>
      <w:numPr>
        <w:ilvl w:val="2"/>
        <w:numId w:val="6"/>
      </w:numPr>
      <w:spacing w:before="240" w:after="60" w:afterAutospacing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Nadpis4">
    <w:name w:val="heading 4"/>
    <w:aliases w:val="(Číslovaný pododstavec)"/>
    <w:basedOn w:val="Normln"/>
    <w:next w:val="Normlnodsazen"/>
    <w:link w:val="Nadpis4Char"/>
    <w:uiPriority w:val="9"/>
    <w:qFormat/>
    <w:rsid w:val="001858F6"/>
    <w:pPr>
      <w:keepNext/>
      <w:numPr>
        <w:ilvl w:val="3"/>
        <w:numId w:val="6"/>
      </w:numPr>
      <w:spacing w:before="60" w:after="0" w:afterAutospacing="0" w:line="240" w:lineRule="auto"/>
      <w:outlineLvl w:val="3"/>
    </w:pPr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A02B8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0C17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1725"/>
    <w:rPr>
      <w:rFonts w:ascii="Tahoma" w:hAnsi="Tahoma" w:cs="Tahoma"/>
      <w:sz w:val="16"/>
      <w:szCs w:val="16"/>
    </w:rPr>
  </w:style>
  <w:style w:type="character" w:customStyle="1" w:styleId="Nadpis1Char">
    <w:name w:val="Nadpis 1 Char"/>
    <w:aliases w:val="(Kapitola) Char"/>
    <w:basedOn w:val="Standardnpsmoodstavce"/>
    <w:link w:val="Nadpis1"/>
    <w:uiPriority w:val="9"/>
    <w:rsid w:val="001858F6"/>
    <w:rPr>
      <w:rFonts w:ascii="Times New Roman" w:eastAsia="Times New Roman" w:hAnsi="Times New Roman" w:cs="Times New Roman"/>
      <w:b/>
      <w:caps/>
      <w:kern w:val="28"/>
      <w:sz w:val="28"/>
      <w:szCs w:val="20"/>
      <w:lang w:eastAsia="cs-CZ"/>
    </w:rPr>
  </w:style>
  <w:style w:type="character" w:customStyle="1" w:styleId="Nadpis2Char">
    <w:name w:val="Nadpis 2 Char"/>
    <w:aliases w:val="(Oddíl) Char"/>
    <w:basedOn w:val="Standardnpsmoodstavce"/>
    <w:link w:val="Nadpis2"/>
    <w:uiPriority w:val="9"/>
    <w:rsid w:val="001858F6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character" w:customStyle="1" w:styleId="Nadpis3Char">
    <w:name w:val="Nadpis 3 Char"/>
    <w:aliases w:val="(Číslovaný odstavec) Char"/>
    <w:basedOn w:val="Standardnpsmoodstavce"/>
    <w:link w:val="Nadpis3"/>
    <w:uiPriority w:val="9"/>
    <w:rsid w:val="001858F6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character" w:customStyle="1" w:styleId="Nadpis4Char">
    <w:name w:val="Nadpis 4 Char"/>
    <w:aliases w:val="(Číslovaný pododstavec) Char"/>
    <w:basedOn w:val="Standardnpsmoodstavce"/>
    <w:link w:val="Nadpis4"/>
    <w:uiPriority w:val="9"/>
    <w:rsid w:val="001858F6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Normlnodsazen">
    <w:name w:val="Normal Indent"/>
    <w:aliases w:val="(Text)"/>
    <w:basedOn w:val="Normln"/>
    <w:uiPriority w:val="99"/>
    <w:rsid w:val="001858F6"/>
    <w:pPr>
      <w:keepNext/>
      <w:overflowPunct w:val="0"/>
      <w:autoSpaceDE w:val="0"/>
      <w:autoSpaceDN w:val="0"/>
      <w:adjustRightInd w:val="0"/>
      <w:spacing w:after="0" w:afterAutospacing="0" w:line="240" w:lineRule="auto"/>
      <w:ind w:left="851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Seznamsodrkami">
    <w:name w:val="List Bullet"/>
    <w:basedOn w:val="Normln"/>
    <w:autoRedefine/>
    <w:uiPriority w:val="99"/>
    <w:rsid w:val="001858F6"/>
    <w:pPr>
      <w:keepNext/>
      <w:numPr>
        <w:numId w:val="4"/>
      </w:numPr>
      <w:tabs>
        <w:tab w:val="clear" w:pos="1211"/>
        <w:tab w:val="left" w:pos="1134"/>
      </w:tabs>
      <w:spacing w:before="20" w:after="20" w:afterAutospacing="0" w:line="240" w:lineRule="auto"/>
      <w:ind w:left="1135" w:hanging="284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slsezn1psmena">
    <w:name w:val="Čísl.sezn.1(písmena)"/>
    <w:basedOn w:val="Normln"/>
    <w:rsid w:val="001858F6"/>
    <w:pPr>
      <w:keepNext/>
      <w:numPr>
        <w:numId w:val="5"/>
      </w:numPr>
      <w:tabs>
        <w:tab w:val="left" w:pos="851"/>
      </w:tabs>
      <w:spacing w:before="60" w:after="60" w:afterAutospacing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Seznamsodrkamiodsazen">
    <w:name w:val="Seznam s odrážkami odsazený"/>
    <w:basedOn w:val="Seznamsodrkami"/>
    <w:rsid w:val="001858F6"/>
    <w:pPr>
      <w:tabs>
        <w:tab w:val="num" w:pos="1211"/>
      </w:tabs>
      <w:ind w:left="1134" w:hanging="283"/>
    </w:pPr>
    <w:rPr>
      <w:szCs w:val="24"/>
    </w:rPr>
  </w:style>
  <w:style w:type="paragraph" w:styleId="Bezmezer">
    <w:name w:val="No Spacing"/>
    <w:uiPriority w:val="1"/>
    <w:qFormat/>
    <w:rsid w:val="004C7332"/>
    <w:pPr>
      <w:spacing w:after="0" w:line="240" w:lineRule="auto"/>
    </w:pPr>
  </w:style>
  <w:style w:type="paragraph" w:customStyle="1" w:styleId="Default">
    <w:name w:val="Default"/>
    <w:rsid w:val="00577726"/>
    <w:pPr>
      <w:autoSpaceDE w:val="0"/>
      <w:autoSpaceDN w:val="0"/>
      <w:adjustRightInd w:val="0"/>
      <w:spacing w:after="0" w:afterAutospacing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8C044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C0449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C0449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C044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C0449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DB5E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B5E55"/>
  </w:style>
  <w:style w:type="paragraph" w:styleId="Zpat">
    <w:name w:val="footer"/>
    <w:basedOn w:val="Normln"/>
    <w:link w:val="ZpatChar"/>
    <w:uiPriority w:val="99"/>
    <w:unhideWhenUsed/>
    <w:rsid w:val="00DB5E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B5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35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DACC41-917E-4815-8A3B-3118A5CD0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10</Pages>
  <Words>876</Words>
  <Characters>5171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Pokorny Jiri</dc:creator>
  <cp:lastModifiedBy>Radomír Drozd</cp:lastModifiedBy>
  <cp:revision>8</cp:revision>
  <cp:lastPrinted>2016-12-12T11:15:00Z</cp:lastPrinted>
  <dcterms:created xsi:type="dcterms:W3CDTF">2016-12-12T11:15:00Z</dcterms:created>
  <dcterms:modified xsi:type="dcterms:W3CDTF">2017-02-14T10:53:00Z</dcterms:modified>
</cp:coreProperties>
</file>