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8864" w14:textId="4B45A94E" w:rsidR="00073A67" w:rsidRPr="00042B91" w:rsidRDefault="00042B91" w:rsidP="00135C40">
      <w:pPr>
        <w:spacing w:before="120" w:after="120" w:line="0" w:lineRule="atLeast"/>
        <w:rPr>
          <w:rFonts w:cs="Arial"/>
          <w:i/>
          <w:iCs/>
          <w:sz w:val="18"/>
          <w:szCs w:val="18"/>
        </w:rPr>
      </w:pPr>
      <w:r w:rsidRPr="00042B91">
        <w:rPr>
          <w:rFonts w:cs="Arial"/>
          <w:i/>
          <w:iCs/>
          <w:sz w:val="18"/>
          <w:szCs w:val="18"/>
        </w:rPr>
        <w:t>ZPMV/0599073/2024-01</w:t>
      </w:r>
    </w:p>
    <w:p w14:paraId="75612C55" w14:textId="775D3012" w:rsidR="00073A67" w:rsidRPr="00EF1416" w:rsidRDefault="00073A67" w:rsidP="00073A6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pct20" w:color="auto" w:fill="FFFFFF"/>
        <w:spacing w:before="120" w:after="120" w:line="0" w:lineRule="atLeast"/>
        <w:jc w:val="center"/>
        <w:rPr>
          <w:rFonts w:cs="Arial"/>
          <w:bCs/>
          <w:smallCaps/>
          <w:spacing w:val="20"/>
          <w:sz w:val="32"/>
          <w:szCs w:val="32"/>
          <w:lang w:eastAsia="cs-CZ"/>
        </w:rPr>
      </w:pPr>
      <w:r>
        <w:rPr>
          <w:rFonts w:cs="Arial"/>
          <w:bCs/>
          <w:smallCaps/>
          <w:spacing w:val="20"/>
          <w:sz w:val="32"/>
          <w:szCs w:val="32"/>
          <w:lang w:eastAsia="cs-CZ"/>
        </w:rPr>
        <w:t>Prováděcí smlouva</w:t>
      </w:r>
      <w:r w:rsidRPr="00EF1416">
        <w:rPr>
          <w:rFonts w:cs="Arial"/>
          <w:bCs/>
          <w:smallCaps/>
          <w:spacing w:val="20"/>
          <w:sz w:val="32"/>
          <w:szCs w:val="32"/>
          <w:lang w:eastAsia="cs-CZ"/>
        </w:rPr>
        <w:t xml:space="preserve"> o poskytování služeb</w:t>
      </w:r>
      <w:r w:rsidR="00D86E43">
        <w:rPr>
          <w:rFonts w:cs="Arial"/>
          <w:bCs/>
          <w:smallCaps/>
          <w:spacing w:val="20"/>
          <w:sz w:val="32"/>
          <w:szCs w:val="32"/>
          <w:lang w:eastAsia="cs-CZ"/>
        </w:rPr>
        <w:t xml:space="preserve"> č. 1</w:t>
      </w:r>
    </w:p>
    <w:p w14:paraId="2BEEA813" w14:textId="77777777" w:rsidR="00073A67" w:rsidRPr="00EF1416" w:rsidRDefault="00073A67" w:rsidP="00073A67">
      <w:pPr>
        <w:spacing w:before="120" w:after="120" w:line="0" w:lineRule="atLeast"/>
      </w:pPr>
    </w:p>
    <w:p w14:paraId="7DB2A9A7" w14:textId="77777777" w:rsidR="00073A67" w:rsidRPr="00EF1416" w:rsidRDefault="00073A67" w:rsidP="00073A67">
      <w:pPr>
        <w:spacing w:before="120" w:after="120" w:line="0" w:lineRule="atLeast"/>
        <w:ind w:right="1133"/>
        <w:rPr>
          <w:rFonts w:cs="Arial"/>
          <w:b/>
          <w:szCs w:val="24"/>
        </w:rPr>
      </w:pPr>
      <w:r w:rsidRPr="00EF1416">
        <w:rPr>
          <w:rFonts w:cs="Arial"/>
          <w:b/>
          <w:szCs w:val="24"/>
        </w:rPr>
        <w:t>Zdravotní pojišťovna ministerstva vnitra České republiky</w:t>
      </w:r>
      <w:r w:rsidRPr="00EF1416">
        <w:rPr>
          <w:rFonts w:cs="Arial"/>
          <w:szCs w:val="24"/>
        </w:rPr>
        <w:t>,</w:t>
      </w:r>
    </w:p>
    <w:p w14:paraId="4A237A2E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 xml:space="preserve">se sídlem Praha 3, Vinohrady, Vinohradská 2577/178, PSČ 130 00, </w:t>
      </w:r>
    </w:p>
    <w:p w14:paraId="4E132322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>IČO: 471 14 304,</w:t>
      </w:r>
    </w:p>
    <w:p w14:paraId="4F37A2D2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>zapsaná v obchodním rejstříku, vedeném Městským soudem v Praze, oddíl A, vložka 7216,</w:t>
      </w:r>
    </w:p>
    <w:p w14:paraId="246E3978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>zastoupená MUDr. Davidem Kostkou, MBA, generálním ředitelem,</w:t>
      </w:r>
    </w:p>
    <w:p w14:paraId="057E3053" w14:textId="3D42FA1B" w:rsidR="00073A67" w:rsidRPr="00135C40" w:rsidRDefault="00073A67" w:rsidP="00073A67">
      <w:pPr>
        <w:spacing w:before="120" w:after="120" w:line="0" w:lineRule="atLeast"/>
        <w:rPr>
          <w:rFonts w:cs="Arial"/>
          <w:i/>
          <w:iCs/>
          <w:szCs w:val="24"/>
        </w:rPr>
      </w:pPr>
      <w:r w:rsidRPr="00EF1416">
        <w:rPr>
          <w:rFonts w:cs="Arial"/>
          <w:szCs w:val="24"/>
        </w:rPr>
        <w:t>bankovní spojení: číslo účtu 2115202031/0710, vedený u České národní banky</w:t>
      </w:r>
      <w:r w:rsidRPr="00EF1416">
        <w:rPr>
          <w:rFonts w:cs="Arial"/>
          <w:i/>
          <w:iCs/>
          <w:szCs w:val="24"/>
        </w:rPr>
        <w:t>,</w:t>
      </w:r>
    </w:p>
    <w:p w14:paraId="5510A456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>(dále též jako „</w:t>
      </w:r>
      <w:r w:rsidRPr="00EF1416">
        <w:rPr>
          <w:rFonts w:cs="Arial"/>
          <w:b/>
          <w:i/>
          <w:szCs w:val="24"/>
        </w:rPr>
        <w:t>Objednatel</w:t>
      </w:r>
      <w:r w:rsidRPr="00EF1416">
        <w:rPr>
          <w:rFonts w:cs="Arial"/>
          <w:szCs w:val="24"/>
        </w:rPr>
        <w:t>“),</w:t>
      </w:r>
    </w:p>
    <w:p w14:paraId="7A7D5C51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</w:p>
    <w:p w14:paraId="364B90E7" w14:textId="77777777" w:rsidR="00073A67" w:rsidRPr="00EF1416" w:rsidRDefault="00073A67" w:rsidP="00073A67">
      <w:pPr>
        <w:spacing w:before="120" w:after="120" w:line="0" w:lineRule="atLeast"/>
        <w:rPr>
          <w:rFonts w:cs="Arial"/>
          <w:b/>
          <w:i/>
          <w:szCs w:val="24"/>
        </w:rPr>
      </w:pPr>
      <w:r w:rsidRPr="00EF1416">
        <w:rPr>
          <w:rFonts w:cs="Arial"/>
          <w:b/>
          <w:i/>
          <w:szCs w:val="24"/>
        </w:rPr>
        <w:t>a</w:t>
      </w:r>
    </w:p>
    <w:p w14:paraId="0C02C2F7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</w:p>
    <w:p w14:paraId="60FE376C" w14:textId="77777777" w:rsidR="00073A67" w:rsidRPr="00EF1416" w:rsidRDefault="00073A67" w:rsidP="00073A67">
      <w:pPr>
        <w:spacing w:before="120" w:after="120" w:line="0" w:lineRule="atLeast"/>
        <w:rPr>
          <w:rFonts w:cs="Arial"/>
          <w:b/>
          <w:szCs w:val="24"/>
        </w:rPr>
      </w:pPr>
      <w:r w:rsidRPr="00EF1416">
        <w:rPr>
          <w:rFonts w:cs="Arial"/>
          <w:b/>
          <w:bCs/>
          <w:szCs w:val="24"/>
          <w:highlight w:val="yellow"/>
        </w:rPr>
        <w:t>_________________________________________________</w:t>
      </w:r>
      <w:r w:rsidRPr="00EF1416">
        <w:rPr>
          <w:rFonts w:cs="Arial"/>
          <w:szCs w:val="24"/>
        </w:rPr>
        <w:t>,</w:t>
      </w:r>
    </w:p>
    <w:p w14:paraId="13A12532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 xml:space="preserve">se sídlem </w:t>
      </w:r>
      <w:r w:rsidRPr="00EF1416">
        <w:rPr>
          <w:rFonts w:cs="Arial"/>
          <w:szCs w:val="24"/>
          <w:highlight w:val="yellow"/>
        </w:rPr>
        <w:t>_____________________</w:t>
      </w:r>
      <w:r w:rsidRPr="00EF1416">
        <w:rPr>
          <w:rFonts w:cs="Arial"/>
          <w:szCs w:val="24"/>
        </w:rPr>
        <w:t>,</w:t>
      </w:r>
    </w:p>
    <w:p w14:paraId="281CA56A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 xml:space="preserve">IČO: </w:t>
      </w:r>
      <w:r w:rsidRPr="00EF1416">
        <w:rPr>
          <w:rFonts w:cs="Arial"/>
          <w:szCs w:val="24"/>
          <w:highlight w:val="yellow"/>
        </w:rPr>
        <w:t>_____________________</w:t>
      </w:r>
      <w:r w:rsidRPr="00EF1416">
        <w:rPr>
          <w:rFonts w:cs="Arial"/>
          <w:szCs w:val="24"/>
        </w:rPr>
        <w:t>,</w:t>
      </w:r>
    </w:p>
    <w:p w14:paraId="6E029A76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 xml:space="preserve">zapsaný/á v obchodním rejstříku, vedeném </w:t>
      </w:r>
      <w:r w:rsidRPr="00EF1416">
        <w:rPr>
          <w:rFonts w:cs="Arial"/>
          <w:szCs w:val="24"/>
          <w:highlight w:val="yellow"/>
        </w:rPr>
        <w:t>_____________________________________</w:t>
      </w:r>
      <w:r w:rsidRPr="00EF1416">
        <w:rPr>
          <w:rFonts w:cs="Arial"/>
          <w:szCs w:val="24"/>
        </w:rPr>
        <w:t>,</w:t>
      </w:r>
    </w:p>
    <w:p w14:paraId="74ECA197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>zastoupený/á</w:t>
      </w:r>
      <w:r w:rsidRPr="00EF1416">
        <w:rPr>
          <w:rFonts w:cs="Arial"/>
          <w:szCs w:val="24"/>
          <w:highlight w:val="yellow"/>
        </w:rPr>
        <w:t>________________________________________</w:t>
      </w:r>
      <w:r w:rsidRPr="00EF1416">
        <w:rPr>
          <w:rFonts w:cs="Arial"/>
          <w:szCs w:val="24"/>
        </w:rPr>
        <w:t>,</w:t>
      </w:r>
    </w:p>
    <w:p w14:paraId="60E9F30E" w14:textId="4D81C4C2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 xml:space="preserve">bankovní spojení: </w:t>
      </w:r>
      <w:r w:rsidRPr="00EF1416">
        <w:rPr>
          <w:rFonts w:cs="Arial"/>
          <w:szCs w:val="24"/>
          <w:highlight w:val="yellow"/>
        </w:rPr>
        <w:t>_____________________</w:t>
      </w:r>
      <w:r w:rsidRPr="00EF1416">
        <w:rPr>
          <w:rFonts w:cs="Arial"/>
          <w:szCs w:val="24"/>
        </w:rPr>
        <w:t>,</w:t>
      </w:r>
    </w:p>
    <w:p w14:paraId="0A1E5607" w14:textId="77777777" w:rsidR="00073A67" w:rsidRPr="00EF1416" w:rsidRDefault="00073A67" w:rsidP="00073A67">
      <w:pPr>
        <w:spacing w:before="120" w:after="120" w:line="0" w:lineRule="atLeast"/>
        <w:rPr>
          <w:rFonts w:cs="Arial"/>
          <w:szCs w:val="24"/>
        </w:rPr>
      </w:pPr>
      <w:r w:rsidRPr="00EF1416">
        <w:rPr>
          <w:rFonts w:cs="Arial"/>
          <w:szCs w:val="24"/>
        </w:rPr>
        <w:t>(dále též jako „</w:t>
      </w:r>
      <w:r w:rsidRPr="00EF1416">
        <w:rPr>
          <w:rFonts w:cs="Arial"/>
          <w:b/>
          <w:i/>
          <w:szCs w:val="24"/>
        </w:rPr>
        <w:t>Poskytovatel</w:t>
      </w:r>
      <w:r w:rsidRPr="00EF1416">
        <w:rPr>
          <w:rFonts w:cs="Arial"/>
          <w:szCs w:val="24"/>
        </w:rPr>
        <w:t>“),</w:t>
      </w:r>
    </w:p>
    <w:p w14:paraId="48D6FA46" w14:textId="77777777" w:rsidR="00073A67" w:rsidRDefault="00073A67" w:rsidP="00073A67">
      <w:pPr>
        <w:spacing w:before="120" w:after="120" w:line="0" w:lineRule="atLeast"/>
        <w:rPr>
          <w:rFonts w:cs="Arial"/>
          <w:b/>
          <w:bCs/>
          <w:szCs w:val="24"/>
        </w:rPr>
      </w:pPr>
    </w:p>
    <w:p w14:paraId="55260144" w14:textId="44DAE1DE" w:rsidR="00073A67" w:rsidRPr="00E16B3A" w:rsidRDefault="00073A67" w:rsidP="00E16B3A">
      <w:pPr>
        <w:suppressAutoHyphens w:val="0"/>
        <w:autoSpaceDE w:val="0"/>
        <w:autoSpaceDN w:val="0"/>
        <w:adjustRightInd w:val="0"/>
        <w:spacing w:before="120" w:after="120" w:line="0" w:lineRule="atLeast"/>
        <w:jc w:val="both"/>
        <w:rPr>
          <w:rFonts w:ascii="Arial,BoldItalic" w:hAnsi="Arial,BoldItalic" w:cs="Arial,BoldItalic"/>
          <w:b/>
          <w:bCs/>
          <w:i/>
          <w:iCs/>
          <w:szCs w:val="22"/>
          <w:lang w:eastAsia="cs-CZ"/>
        </w:rPr>
      </w:pPr>
      <w:r>
        <w:rPr>
          <w:rFonts w:cs="Arial"/>
          <w:szCs w:val="22"/>
          <w:lang w:eastAsia="cs-CZ"/>
        </w:rPr>
        <w:t>Objednatel a Poskytovatel společně též jako „</w:t>
      </w:r>
      <w:r>
        <w:rPr>
          <w:rFonts w:cs="Arial"/>
          <w:b/>
          <w:bCs/>
          <w:i/>
          <w:iCs/>
          <w:szCs w:val="22"/>
          <w:lang w:eastAsia="cs-CZ"/>
        </w:rPr>
        <w:t>S</w:t>
      </w:r>
      <w:r>
        <w:rPr>
          <w:rFonts w:ascii="Arial,BoldItalic" w:hAnsi="Arial,BoldItalic" w:cs="Arial,BoldItalic"/>
          <w:b/>
          <w:bCs/>
          <w:i/>
          <w:iCs/>
          <w:szCs w:val="22"/>
          <w:lang w:eastAsia="cs-CZ"/>
        </w:rPr>
        <w:t>mluvní strany</w:t>
      </w:r>
      <w:r>
        <w:rPr>
          <w:rFonts w:cs="Arial"/>
          <w:szCs w:val="22"/>
          <w:lang w:eastAsia="cs-CZ"/>
        </w:rPr>
        <w:t>“ nebo jednotlivě jako „</w:t>
      </w:r>
      <w:r>
        <w:rPr>
          <w:rFonts w:ascii="Arial,BoldItalic" w:hAnsi="Arial,BoldItalic" w:cs="Arial,BoldItalic"/>
          <w:b/>
          <w:bCs/>
          <w:i/>
          <w:iCs/>
          <w:szCs w:val="22"/>
          <w:lang w:eastAsia="cs-CZ"/>
        </w:rPr>
        <w:t>Smluvní</w:t>
      </w:r>
      <w:r w:rsidR="00E16B3A">
        <w:rPr>
          <w:rFonts w:ascii="Arial,BoldItalic" w:hAnsi="Arial,BoldItalic" w:cs="Arial,BoldItalic"/>
          <w:b/>
          <w:bCs/>
          <w:i/>
          <w:iCs/>
          <w:szCs w:val="22"/>
          <w:lang w:eastAsia="cs-CZ"/>
        </w:rPr>
        <w:t xml:space="preserve"> </w:t>
      </w:r>
      <w:r>
        <w:rPr>
          <w:rFonts w:cs="Arial"/>
          <w:b/>
          <w:bCs/>
          <w:i/>
          <w:iCs/>
          <w:szCs w:val="22"/>
          <w:lang w:eastAsia="cs-CZ"/>
        </w:rPr>
        <w:t>strana</w:t>
      </w:r>
      <w:r>
        <w:rPr>
          <w:rFonts w:cs="Arial"/>
          <w:szCs w:val="22"/>
          <w:lang w:eastAsia="cs-CZ"/>
        </w:rPr>
        <w:t>“),</w:t>
      </w:r>
    </w:p>
    <w:p w14:paraId="2E0B6FA3" w14:textId="77777777" w:rsidR="00073A67" w:rsidRDefault="00073A67" w:rsidP="00073A67">
      <w:pPr>
        <w:suppressAutoHyphens w:val="0"/>
        <w:autoSpaceDE w:val="0"/>
        <w:autoSpaceDN w:val="0"/>
        <w:adjustRightInd w:val="0"/>
        <w:spacing w:before="120" w:after="120" w:line="0" w:lineRule="atLeast"/>
        <w:rPr>
          <w:rFonts w:cs="Arial"/>
          <w:szCs w:val="22"/>
          <w:lang w:eastAsia="cs-CZ"/>
        </w:rPr>
      </w:pPr>
    </w:p>
    <w:p w14:paraId="07C68334" w14:textId="12750388" w:rsidR="00073A67" w:rsidRDefault="00073A67" w:rsidP="00073A67">
      <w:pPr>
        <w:suppressAutoHyphens w:val="0"/>
        <w:autoSpaceDE w:val="0"/>
        <w:autoSpaceDN w:val="0"/>
        <w:adjustRightInd w:val="0"/>
        <w:spacing w:before="120" w:after="120" w:line="0" w:lineRule="atLeast"/>
        <w:jc w:val="both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uzavřeli níže uvedeného kalendářního dne, měsíce a roku v souladu s § 1746 odst. 2 zákona č. 89/2012 Sb., občanského zákoníku, ve znění pozdějších předpisů (dále jen „</w:t>
      </w:r>
      <w:r>
        <w:rPr>
          <w:rFonts w:cs="Arial"/>
          <w:b/>
          <w:bCs/>
          <w:i/>
          <w:iCs/>
          <w:szCs w:val="22"/>
          <w:lang w:eastAsia="cs-CZ"/>
        </w:rPr>
        <w:t>O</w:t>
      </w:r>
      <w:r>
        <w:rPr>
          <w:rFonts w:ascii="Arial,BoldItalic" w:hAnsi="Arial,BoldItalic" w:cs="Arial,BoldItalic"/>
          <w:b/>
          <w:bCs/>
          <w:i/>
          <w:iCs/>
          <w:szCs w:val="22"/>
          <w:lang w:eastAsia="cs-CZ"/>
        </w:rPr>
        <w:t>bčanský</w:t>
      </w:r>
      <w:r>
        <w:rPr>
          <w:rFonts w:cs="Arial"/>
          <w:szCs w:val="22"/>
          <w:lang w:eastAsia="cs-CZ"/>
        </w:rPr>
        <w:t xml:space="preserve"> </w:t>
      </w:r>
      <w:r>
        <w:rPr>
          <w:rFonts w:ascii="Arial,BoldItalic" w:hAnsi="Arial,BoldItalic" w:cs="Arial,BoldItalic"/>
          <w:b/>
          <w:bCs/>
          <w:i/>
          <w:iCs/>
          <w:szCs w:val="22"/>
          <w:lang w:eastAsia="cs-CZ"/>
        </w:rPr>
        <w:t>zákoník</w:t>
      </w:r>
      <w:r>
        <w:rPr>
          <w:rFonts w:cs="Arial"/>
          <w:szCs w:val="22"/>
          <w:lang w:eastAsia="cs-CZ"/>
        </w:rPr>
        <w:t xml:space="preserve">“) na základě Rámcové dohody o poskytování služeb s více účastníky ze dne </w:t>
      </w:r>
      <w:r w:rsidR="00E15071">
        <w:rPr>
          <w:rFonts w:cs="Arial"/>
          <w:szCs w:val="22"/>
          <w:lang w:eastAsia="cs-CZ"/>
        </w:rPr>
        <w:t>28.8.2024</w:t>
      </w:r>
      <w:r>
        <w:rPr>
          <w:rFonts w:cs="Arial"/>
          <w:szCs w:val="22"/>
          <w:lang w:eastAsia="cs-CZ"/>
        </w:rPr>
        <w:t>, ev. č. </w:t>
      </w:r>
      <w:r w:rsidR="00135C40">
        <w:rPr>
          <w:rFonts w:cs="Arial"/>
          <w:szCs w:val="22"/>
          <w:lang w:eastAsia="cs-CZ"/>
        </w:rPr>
        <w:t>000108-000/2024-00</w:t>
      </w:r>
      <w:r w:rsidR="00F80D42">
        <w:rPr>
          <w:rFonts w:cs="Arial"/>
          <w:szCs w:val="22"/>
          <w:lang w:eastAsia="cs-CZ"/>
        </w:rPr>
        <w:t xml:space="preserve"> </w:t>
      </w:r>
      <w:r w:rsidR="00F80D42">
        <w:t>(dále jen „</w:t>
      </w:r>
      <w:r w:rsidR="00F80D42">
        <w:rPr>
          <w:b/>
          <w:i/>
        </w:rPr>
        <w:t>Rámcová dohoda</w:t>
      </w:r>
      <w:r w:rsidR="00F80D42">
        <w:t>“)</w:t>
      </w:r>
      <w:r w:rsidR="00E15071">
        <w:t xml:space="preserve"> a v souladu s čl. III. Rámcové dohody</w:t>
      </w:r>
    </w:p>
    <w:p w14:paraId="65A42433" w14:textId="77777777" w:rsidR="00073A67" w:rsidRDefault="00073A67" w:rsidP="00073A67">
      <w:pPr>
        <w:spacing w:before="120" w:after="120" w:line="0" w:lineRule="atLeast"/>
        <w:jc w:val="center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tuto</w:t>
      </w:r>
    </w:p>
    <w:p w14:paraId="650DAF36" w14:textId="77777777" w:rsidR="00073A67" w:rsidRDefault="00073A67" w:rsidP="00073A67">
      <w:pPr>
        <w:spacing w:before="120" w:after="120" w:line="0" w:lineRule="atLeast"/>
        <w:jc w:val="center"/>
        <w:rPr>
          <w:rFonts w:cs="Arial"/>
          <w:szCs w:val="22"/>
          <w:lang w:eastAsia="cs-CZ"/>
        </w:rPr>
      </w:pPr>
    </w:p>
    <w:p w14:paraId="5907A007" w14:textId="4FD46381" w:rsidR="00073A67" w:rsidRDefault="00073A67" w:rsidP="00073A67">
      <w:pPr>
        <w:spacing w:before="120" w:after="120" w:line="0" w:lineRule="atLeast"/>
        <w:jc w:val="center"/>
        <w:rPr>
          <w:rFonts w:cs="Arial"/>
          <w:szCs w:val="22"/>
          <w:lang w:eastAsia="cs-CZ"/>
        </w:rPr>
      </w:pPr>
      <w:r w:rsidRPr="00FA0C60">
        <w:rPr>
          <w:rFonts w:cs="Arial"/>
          <w:szCs w:val="22"/>
          <w:lang w:eastAsia="cs-CZ"/>
        </w:rPr>
        <w:t>PROVÁDĚCÍ SMLOUV</w:t>
      </w:r>
      <w:r>
        <w:rPr>
          <w:rFonts w:cs="Arial"/>
          <w:szCs w:val="22"/>
          <w:lang w:eastAsia="cs-CZ"/>
        </w:rPr>
        <w:t>U</w:t>
      </w:r>
      <w:r w:rsidRPr="00FA0C60">
        <w:rPr>
          <w:rFonts w:cs="Arial"/>
          <w:szCs w:val="22"/>
          <w:lang w:eastAsia="cs-CZ"/>
        </w:rPr>
        <w:t xml:space="preserve"> O POSKYTOVÁNÍ SLUŽEB</w:t>
      </w:r>
      <w:r w:rsidR="00D86E43">
        <w:rPr>
          <w:rFonts w:cs="Arial"/>
          <w:szCs w:val="22"/>
          <w:lang w:eastAsia="cs-CZ"/>
        </w:rPr>
        <w:t xml:space="preserve"> Č. 1</w:t>
      </w:r>
    </w:p>
    <w:p w14:paraId="17DABE6D" w14:textId="06A98C62" w:rsidR="00E15071" w:rsidRDefault="00E15071" w:rsidP="00073A67">
      <w:pPr>
        <w:spacing w:before="120" w:after="120" w:line="0" w:lineRule="atLeast"/>
        <w:jc w:val="center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K Rámcové dohodě ze </w:t>
      </w:r>
      <w:r w:rsidR="00052DFA">
        <w:rPr>
          <w:rFonts w:cs="Arial"/>
          <w:szCs w:val="22"/>
          <w:lang w:eastAsia="cs-CZ"/>
        </w:rPr>
        <w:t xml:space="preserve">dne </w:t>
      </w:r>
      <w:r>
        <w:rPr>
          <w:rFonts w:cs="Arial"/>
          <w:szCs w:val="22"/>
          <w:lang w:eastAsia="cs-CZ"/>
        </w:rPr>
        <w:t>28.8.2024</w:t>
      </w:r>
    </w:p>
    <w:p w14:paraId="14931E96" w14:textId="6CBE2368" w:rsidR="00073A67" w:rsidRDefault="00042B91" w:rsidP="00073A67">
      <w:pPr>
        <w:spacing w:before="120" w:after="120" w:line="0" w:lineRule="atLeast"/>
        <w:jc w:val="center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č. </w:t>
      </w:r>
      <w:proofErr w:type="gramStart"/>
      <w:r w:rsidRPr="00042B91">
        <w:rPr>
          <w:rFonts w:cs="Arial"/>
          <w:szCs w:val="22"/>
          <w:lang w:eastAsia="cs-CZ"/>
        </w:rPr>
        <w:t>000108-P01</w:t>
      </w:r>
      <w:proofErr w:type="gramEnd"/>
      <w:r w:rsidRPr="00042B91">
        <w:rPr>
          <w:rFonts w:cs="Arial"/>
          <w:szCs w:val="22"/>
          <w:lang w:eastAsia="cs-CZ"/>
        </w:rPr>
        <w:t>/2024-00</w:t>
      </w:r>
    </w:p>
    <w:p w14:paraId="6B092580" w14:textId="77777777" w:rsidR="00073A67" w:rsidRDefault="00073A67" w:rsidP="00073A67">
      <w:pPr>
        <w:spacing w:before="120" w:after="120" w:line="0" w:lineRule="atLeast"/>
        <w:jc w:val="center"/>
        <w:rPr>
          <w:rFonts w:cs="Arial"/>
          <w:szCs w:val="24"/>
        </w:rPr>
      </w:pPr>
      <w:r w:rsidRPr="00FA0C60">
        <w:rPr>
          <w:rFonts w:cs="Arial"/>
          <w:szCs w:val="24"/>
        </w:rPr>
        <w:t>(dále jen „</w:t>
      </w:r>
      <w:r w:rsidRPr="00FA0C60">
        <w:rPr>
          <w:rFonts w:cs="Arial"/>
          <w:b/>
          <w:bCs/>
          <w:i/>
          <w:iCs/>
          <w:szCs w:val="24"/>
        </w:rPr>
        <w:t>Prováděcí smlouva</w:t>
      </w:r>
      <w:r w:rsidRPr="00FA0C60">
        <w:rPr>
          <w:rFonts w:cs="Arial"/>
          <w:szCs w:val="24"/>
        </w:rPr>
        <w:t>“)</w:t>
      </w:r>
    </w:p>
    <w:p w14:paraId="1E181D03" w14:textId="77777777" w:rsidR="00073A67" w:rsidRDefault="00073A67" w:rsidP="00135C40">
      <w:pPr>
        <w:spacing w:before="120" w:after="120" w:line="0" w:lineRule="atLeast"/>
        <w:rPr>
          <w:rFonts w:cs="Arial"/>
          <w:szCs w:val="24"/>
        </w:rPr>
      </w:pPr>
    </w:p>
    <w:p w14:paraId="1E1DAEE5" w14:textId="77777777" w:rsidR="00073A67" w:rsidRPr="00B94F6D" w:rsidRDefault="00073A67" w:rsidP="00073A67">
      <w:pPr>
        <w:pStyle w:val="Nadpis1"/>
        <w:spacing w:before="120" w:line="0" w:lineRule="atLeast"/>
        <w:ind w:firstLine="0"/>
        <w:rPr>
          <w:bCs/>
        </w:rPr>
      </w:pPr>
      <w:r w:rsidRPr="00B94F6D">
        <w:rPr>
          <w:bCs/>
        </w:rPr>
        <w:t>Článek I.</w:t>
      </w:r>
      <w:r w:rsidRPr="00B94F6D">
        <w:rPr>
          <w:bCs/>
        </w:rPr>
        <w:br/>
        <w:t>Předmět plnění</w:t>
      </w:r>
    </w:p>
    <w:p w14:paraId="7C405975" w14:textId="23EA2A1A" w:rsidR="00643101" w:rsidRDefault="00073A67" w:rsidP="00A95940">
      <w:pPr>
        <w:pStyle w:val="Nadpis2"/>
        <w:numPr>
          <w:ilvl w:val="0"/>
          <w:numId w:val="3"/>
        </w:numPr>
        <w:tabs>
          <w:tab w:val="num" w:pos="360"/>
        </w:tabs>
        <w:spacing w:before="120" w:after="120" w:line="0" w:lineRule="atLeast"/>
        <w:ind w:left="709" w:hanging="283"/>
        <w:rPr>
          <w:bCs/>
        </w:rPr>
      </w:pPr>
      <w:bookmarkStart w:id="0" w:name="_Ref28928206"/>
      <w:bookmarkStart w:id="1" w:name="_Ref24364828"/>
      <w:r>
        <w:t xml:space="preserve">Předmětem této Prováděcí smlouvy je </w:t>
      </w:r>
      <w:bookmarkEnd w:id="0"/>
      <w:r>
        <w:t xml:space="preserve">poskytování </w:t>
      </w:r>
      <w:r w:rsidR="00A95940" w:rsidRPr="00A95940">
        <w:rPr>
          <w:bCs/>
        </w:rPr>
        <w:t>odborných</w:t>
      </w:r>
      <w:r w:rsidR="00E15071">
        <w:rPr>
          <w:bCs/>
        </w:rPr>
        <w:t xml:space="preserve"> poradenských, konzultačních a znaleckých</w:t>
      </w:r>
      <w:r w:rsidR="00A95940" w:rsidRPr="00A95940">
        <w:rPr>
          <w:bCs/>
        </w:rPr>
        <w:t xml:space="preserve"> služeb</w:t>
      </w:r>
      <w:r w:rsidR="00011AA8">
        <w:rPr>
          <w:bCs/>
        </w:rPr>
        <w:t xml:space="preserve"> Poskytovatele </w:t>
      </w:r>
      <w:r w:rsidR="00011AA8" w:rsidRPr="00A95940">
        <w:rPr>
          <w:bCs/>
        </w:rPr>
        <w:t xml:space="preserve">pro Objednatele </w:t>
      </w:r>
      <w:r w:rsidR="00011AA8">
        <w:rPr>
          <w:bCs/>
        </w:rPr>
        <w:t xml:space="preserve">k veřejné zakázce </w:t>
      </w:r>
      <w:r w:rsidR="00011AA8" w:rsidRPr="00011AA8">
        <w:rPr>
          <w:bCs/>
        </w:rPr>
        <w:t>s názvem: „Pořízení nového pojišťovacího informačního systému ZP MV ČR</w:t>
      </w:r>
      <w:r w:rsidR="00011AA8">
        <w:rPr>
          <w:bCs/>
        </w:rPr>
        <w:t xml:space="preserve">“ </w:t>
      </w:r>
      <w:r w:rsidR="00A95940" w:rsidRPr="00A95940">
        <w:rPr>
          <w:bCs/>
        </w:rPr>
        <w:t xml:space="preserve">spočívajících </w:t>
      </w:r>
      <w:r w:rsidR="00011AA8">
        <w:rPr>
          <w:bCs/>
        </w:rPr>
        <w:t xml:space="preserve">zejména </w:t>
      </w:r>
      <w:r w:rsidR="00A95940" w:rsidRPr="00A95940">
        <w:rPr>
          <w:bCs/>
        </w:rPr>
        <w:t>v</w:t>
      </w:r>
      <w:r w:rsidR="00643101">
        <w:rPr>
          <w:bCs/>
        </w:rPr>
        <w:t>(</w:t>
      </w:r>
      <w:r w:rsidR="00A95940" w:rsidRPr="00A95940">
        <w:rPr>
          <w:bCs/>
        </w:rPr>
        <w:t>e</w:t>
      </w:r>
      <w:r w:rsidR="00643101">
        <w:rPr>
          <w:bCs/>
        </w:rPr>
        <w:t>):</w:t>
      </w:r>
    </w:p>
    <w:p w14:paraId="5B3C9140" w14:textId="0928FFFC" w:rsidR="00A95940" w:rsidRPr="00211861" w:rsidRDefault="00E15071" w:rsidP="00211861">
      <w:pPr>
        <w:pStyle w:val="Nadpis2"/>
        <w:numPr>
          <w:ilvl w:val="0"/>
          <w:numId w:val="28"/>
        </w:numPr>
        <w:spacing w:before="120" w:after="120" w:line="0" w:lineRule="atLeast"/>
        <w:rPr>
          <w:bCs/>
        </w:rPr>
      </w:pPr>
      <w:r>
        <w:rPr>
          <w:bCs/>
        </w:rPr>
        <w:t>vy</w:t>
      </w:r>
      <w:r w:rsidR="00A95940" w:rsidRPr="00A95940">
        <w:rPr>
          <w:bCs/>
        </w:rPr>
        <w:t xml:space="preserve">pracování </w:t>
      </w:r>
      <w:r w:rsidR="00643101">
        <w:rPr>
          <w:bCs/>
        </w:rPr>
        <w:t xml:space="preserve">písemného </w:t>
      </w:r>
      <w:r w:rsidR="00A95940" w:rsidRPr="00A83BF2">
        <w:rPr>
          <w:b/>
        </w:rPr>
        <w:t>znaleckého posudku</w:t>
      </w:r>
      <w:r w:rsidR="00A95940" w:rsidRPr="00A95940">
        <w:rPr>
          <w:bCs/>
        </w:rPr>
        <w:t xml:space="preserve"> </w:t>
      </w:r>
      <w:r w:rsidR="00643101" w:rsidRPr="00643101">
        <w:rPr>
          <w:bCs/>
        </w:rPr>
        <w:t>podle zákona č. 254/2019 Sb., o</w:t>
      </w:r>
      <w:r w:rsidR="00643101">
        <w:rPr>
          <w:bCs/>
        </w:rPr>
        <w:t> </w:t>
      </w:r>
      <w:r w:rsidR="00643101" w:rsidRPr="00643101">
        <w:rPr>
          <w:bCs/>
        </w:rPr>
        <w:t>znalcích, znaleckých kancelářích a znaleckých ústavech, ve znění pozdějších předpisů</w:t>
      </w:r>
      <w:r w:rsidR="00643101">
        <w:rPr>
          <w:bCs/>
        </w:rPr>
        <w:t xml:space="preserve">, </w:t>
      </w:r>
      <w:r w:rsidR="00A95940" w:rsidRPr="00A95940">
        <w:rPr>
          <w:bCs/>
        </w:rPr>
        <w:t xml:space="preserve">k návrhu zadávací dokumentace veřejné zakázky </w:t>
      </w:r>
      <w:r>
        <w:rPr>
          <w:bCs/>
        </w:rPr>
        <w:t xml:space="preserve">s názvem: </w:t>
      </w:r>
      <w:r w:rsidR="00A95940" w:rsidRPr="00A95940">
        <w:rPr>
          <w:bCs/>
        </w:rPr>
        <w:t>„</w:t>
      </w:r>
      <w:bookmarkStart w:id="2" w:name="_Hlk174725425"/>
      <w:r w:rsidR="00A95940" w:rsidRPr="00A95940">
        <w:rPr>
          <w:bCs/>
        </w:rPr>
        <w:t>Pořízení nového pojišťovacího informačního systému ZP MV ČR</w:t>
      </w:r>
      <w:bookmarkEnd w:id="2"/>
      <w:r w:rsidR="00A95940" w:rsidRPr="00A95940">
        <w:rPr>
          <w:bCs/>
        </w:rPr>
        <w:t>“</w:t>
      </w:r>
      <w:r w:rsidR="009009D0">
        <w:rPr>
          <w:bCs/>
        </w:rPr>
        <w:t>, jehož součástí je technická specifikace</w:t>
      </w:r>
      <w:r w:rsidR="00A95940" w:rsidRPr="00A95940">
        <w:rPr>
          <w:bCs/>
        </w:rPr>
        <w:t xml:space="preserve"> (dále jen „</w:t>
      </w:r>
      <w:r w:rsidR="00A95940" w:rsidRPr="00A95940">
        <w:rPr>
          <w:b/>
          <w:i/>
          <w:iCs/>
        </w:rPr>
        <w:t>ZD</w:t>
      </w:r>
      <w:r w:rsidR="00A95940" w:rsidRPr="00A95940">
        <w:rPr>
          <w:bCs/>
        </w:rPr>
        <w:t>“)</w:t>
      </w:r>
      <w:r w:rsidR="00197BA4">
        <w:rPr>
          <w:bCs/>
        </w:rPr>
        <w:t xml:space="preserve"> dle zadaných otázek</w:t>
      </w:r>
      <w:r w:rsidR="00A95940" w:rsidRPr="00A95940">
        <w:rPr>
          <w:bCs/>
        </w:rPr>
        <w:t xml:space="preserve">. Celkový rozsah ZD včetně všech příloh je </w:t>
      </w:r>
      <w:r w:rsidR="00211861">
        <w:rPr>
          <w:bCs/>
        </w:rPr>
        <w:t xml:space="preserve">cca </w:t>
      </w:r>
      <w:r w:rsidR="00A9605D">
        <w:t xml:space="preserve">320 </w:t>
      </w:r>
      <w:r w:rsidR="00A95940" w:rsidRPr="00A95940">
        <w:rPr>
          <w:bCs/>
        </w:rPr>
        <w:t>stran.</w:t>
      </w:r>
    </w:p>
    <w:p w14:paraId="3D9D2176" w14:textId="5568B756" w:rsidR="00A95940" w:rsidRDefault="00677855" w:rsidP="00A95940">
      <w:pPr>
        <w:spacing w:before="120" w:after="120" w:line="0" w:lineRule="atLeast"/>
        <w:ind w:right="1133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A95940">
        <w:rPr>
          <w:rFonts w:cs="Arial"/>
          <w:szCs w:val="22"/>
        </w:rPr>
        <w:t xml:space="preserve">nalecký </w:t>
      </w:r>
      <w:r w:rsidR="00A95940" w:rsidRPr="007E043D">
        <w:rPr>
          <w:rFonts w:cs="Arial"/>
          <w:szCs w:val="22"/>
        </w:rPr>
        <w:t>posudek odpoví na následující otázky:</w:t>
      </w:r>
    </w:p>
    <w:p w14:paraId="20E02C61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 xml:space="preserve">Je navržený druh veřejné zakázky </w:t>
      </w:r>
      <w:r w:rsidRPr="00C039F7">
        <w:rPr>
          <w:rFonts w:cs="Arial"/>
          <w:bCs/>
          <w:i/>
          <w:iCs/>
        </w:rPr>
        <w:t>jednací řízení s uveřejněním</w:t>
      </w:r>
      <w:r w:rsidRPr="00750984">
        <w:rPr>
          <w:rFonts w:cs="Arial"/>
          <w:bCs/>
        </w:rPr>
        <w:t xml:space="preserve"> (dále jen „</w:t>
      </w:r>
      <w:r w:rsidRPr="00750984">
        <w:rPr>
          <w:rFonts w:cs="Arial"/>
          <w:b/>
          <w:i/>
          <w:iCs/>
        </w:rPr>
        <w:t>JŘSU</w:t>
      </w:r>
      <w:r w:rsidRPr="00750984">
        <w:rPr>
          <w:rFonts w:cs="Arial"/>
          <w:bCs/>
        </w:rPr>
        <w:t>“) vhodný pro realizaci předmětné veřejné zakázky?</w:t>
      </w:r>
    </w:p>
    <w:p w14:paraId="531341C8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Je s ohledem na zvolený druh veřejné zakázky (JŘSU) ZD kompletní a úplná?</w:t>
      </w:r>
    </w:p>
    <w:p w14:paraId="24CF6682" w14:textId="3E9A5F03" w:rsidR="002E13C5" w:rsidRPr="002B6E3A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Jsou požadovaná kvalifikační kritéria v ZD kompletní, přiměřená a</w:t>
      </w:r>
      <w:r w:rsidR="005F3BEA">
        <w:rPr>
          <w:rFonts w:cs="Arial"/>
          <w:bCs/>
        </w:rPr>
        <w:t> </w:t>
      </w:r>
      <w:r w:rsidRPr="00750984">
        <w:rPr>
          <w:rFonts w:cs="Arial"/>
          <w:bCs/>
        </w:rPr>
        <w:t>nediskriminační?</w:t>
      </w:r>
      <w:r>
        <w:t xml:space="preserve"> </w:t>
      </w:r>
      <w:r w:rsidRPr="00750984">
        <w:rPr>
          <w:rFonts w:cs="Arial"/>
          <w:bCs/>
        </w:rPr>
        <w:t>Pokud ne, identifikujte mezery v zadávacích podmínkách, které je potřeba zpřesnit.</w:t>
      </w:r>
    </w:p>
    <w:p w14:paraId="439C3C54" w14:textId="77777777" w:rsidR="002E13C5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 xml:space="preserve">Jsou minimální technické podmínky nastaveny </w:t>
      </w:r>
      <w:r>
        <w:rPr>
          <w:rFonts w:cs="Arial"/>
          <w:bCs/>
        </w:rPr>
        <w:t xml:space="preserve">pro účely JŘSU </w:t>
      </w:r>
      <w:r w:rsidRPr="00750984">
        <w:rPr>
          <w:rFonts w:cs="Arial"/>
          <w:bCs/>
        </w:rPr>
        <w:t>dostatečně transparentně, nediskriminačně a jasně? Pokud ne, identifikujte mezery v zadávacích podmínkách, které je potřeba zpřesnit.</w:t>
      </w:r>
    </w:p>
    <w:p w14:paraId="1778654F" w14:textId="61EFEBE8" w:rsidR="00E23E5D" w:rsidRPr="00E23E5D" w:rsidRDefault="00E23E5D" w:rsidP="00C039F7">
      <w:pPr>
        <w:pStyle w:val="Odstavecseseznamem"/>
        <w:numPr>
          <w:ilvl w:val="0"/>
          <w:numId w:val="18"/>
        </w:numPr>
        <w:jc w:val="both"/>
        <w:rPr>
          <w:rFonts w:cs="Arial"/>
          <w:bCs/>
        </w:rPr>
      </w:pPr>
      <w:r w:rsidRPr="00E23E5D">
        <w:rPr>
          <w:rFonts w:cs="Arial"/>
          <w:bCs/>
        </w:rPr>
        <w:t>Jsou minimální technické podmínky nastaveny pro realizaci předmětu veřejné zakázky dostatečně a v souladu s příslušnou legislativou. Pokud ne, identifikujte mezery v zadávacích podmínkách, které je potřeba zpřesnit.</w:t>
      </w:r>
    </w:p>
    <w:p w14:paraId="5BC337B5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Neobsahuje ZD požadavky či podmínky přesahující rámec příslušné legislativy?</w:t>
      </w:r>
    </w:p>
    <w:p w14:paraId="6B3D08BF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Umožňují zvolená kritéria posouzení a hodnocení nabídek?</w:t>
      </w:r>
    </w:p>
    <w:p w14:paraId="1F857A1B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Obsahuje ZD v dostatečné kvantitě a kvalitě informace, které umožňují soutěžitelům zpracovat své nabídky a neobsahuje ZD „diskriminační“ prvky?</w:t>
      </w:r>
    </w:p>
    <w:p w14:paraId="5EAA14E1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Jsou požadavky na předmět zakázky formulovány vyváženě a srozumitelně pro všechny fáze plnění včetně následného provozu?</w:t>
      </w:r>
    </w:p>
    <w:p w14:paraId="3DEFE8FC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Je ze ZD srozumitelný způsob přebírání a akceptace předmětu veřejné zakázky?</w:t>
      </w:r>
    </w:p>
    <w:p w14:paraId="37C9DEF1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Zadavatel zvolil procentuální finanční rozpad díla dle etap. Je tento rozpad adekvátní a smysluplný?</w:t>
      </w:r>
    </w:p>
    <w:p w14:paraId="567AA3C2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Nejsou jednotlivé požadavky ZD ve vzájemném rozporu?</w:t>
      </w:r>
    </w:p>
    <w:p w14:paraId="39E92C02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Je nastavený harmonogram s ohledem na předmět plnění realizovatelný?</w:t>
      </w:r>
    </w:p>
    <w:p w14:paraId="414A1D19" w14:textId="77777777" w:rsidR="002E13C5" w:rsidRPr="00750984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Obsahuje ZD prvky/znaky vendor lock – in? Jestliže ano, identifikujte místa nebo příslušná ustanovení kde?</w:t>
      </w:r>
    </w:p>
    <w:p w14:paraId="29AB7E11" w14:textId="77777777" w:rsidR="005F3BEA" w:rsidRDefault="002E13C5" w:rsidP="005F3BEA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750984">
        <w:rPr>
          <w:rFonts w:cs="Arial"/>
          <w:bCs/>
        </w:rPr>
        <w:t>Byl vhodně zvolen sankční mechanismus uvedený ve smlouvách?</w:t>
      </w:r>
    </w:p>
    <w:p w14:paraId="3E7E6674" w14:textId="37CB1373" w:rsidR="002E13C5" w:rsidRPr="00A83BF2" w:rsidRDefault="002E13C5" w:rsidP="00A83BF2">
      <w:pPr>
        <w:pStyle w:val="Odstavecseseznamem"/>
        <w:numPr>
          <w:ilvl w:val="0"/>
          <w:numId w:val="18"/>
        </w:numPr>
        <w:spacing w:before="120" w:after="120" w:line="0" w:lineRule="atLeast"/>
        <w:jc w:val="both"/>
        <w:rPr>
          <w:rFonts w:cs="Arial"/>
          <w:bCs/>
        </w:rPr>
      </w:pPr>
      <w:r w:rsidRPr="005F3BEA">
        <w:rPr>
          <w:rFonts w:cs="Arial"/>
          <w:bCs/>
        </w:rPr>
        <w:t>Další případná doporučení znalce k realizaci této veřejné zakázky.</w:t>
      </w:r>
    </w:p>
    <w:p w14:paraId="7F964113" w14:textId="59613488" w:rsidR="00371B20" w:rsidRDefault="00A83BF2" w:rsidP="00A95940">
      <w:pPr>
        <w:pStyle w:val="Nadpis2"/>
        <w:numPr>
          <w:ilvl w:val="0"/>
          <w:numId w:val="0"/>
        </w:numPr>
        <w:spacing w:before="120" w:after="120" w:line="0" w:lineRule="atLeast"/>
        <w:ind w:left="709"/>
      </w:pPr>
      <w:r>
        <w:tab/>
      </w:r>
      <w:r w:rsidR="00073A67">
        <w:t>(dále jen „</w:t>
      </w:r>
      <w:r w:rsidR="00643101">
        <w:rPr>
          <w:b/>
          <w:i/>
        </w:rPr>
        <w:t>Znalecký posudek</w:t>
      </w:r>
      <w:r w:rsidR="00073A67">
        <w:t>“)</w:t>
      </w:r>
      <w:bookmarkEnd w:id="1"/>
      <w:r w:rsidR="008B778A">
        <w:t>;</w:t>
      </w:r>
    </w:p>
    <w:p w14:paraId="4A2D4CF9" w14:textId="5E2CFC25" w:rsidR="006E7DF0" w:rsidRDefault="006E7DF0" w:rsidP="0055650F">
      <w:pPr>
        <w:pStyle w:val="Nadpis2"/>
        <w:numPr>
          <w:ilvl w:val="0"/>
          <w:numId w:val="28"/>
        </w:numPr>
        <w:spacing w:before="120" w:after="120" w:line="0" w:lineRule="atLeast"/>
      </w:pPr>
      <w:r>
        <w:t xml:space="preserve">poskytování souvisejícího plnění spočívajícího </w:t>
      </w:r>
      <w:r w:rsidR="0055650F">
        <w:t>v</w:t>
      </w:r>
      <w:r>
        <w:t xml:space="preserve"> doplnění </w:t>
      </w:r>
      <w:r w:rsidR="0055650F">
        <w:t>Z</w:t>
      </w:r>
      <w:r>
        <w:t>naleck</w:t>
      </w:r>
      <w:r w:rsidR="0055650F">
        <w:t>ého</w:t>
      </w:r>
      <w:r>
        <w:t xml:space="preserve"> posudk</w:t>
      </w:r>
      <w:r w:rsidR="0055650F">
        <w:t>u</w:t>
      </w:r>
      <w:r>
        <w:t xml:space="preserve"> nebo provedení jiných odborných prací souvisejících s</w:t>
      </w:r>
      <w:r w:rsidR="0055650F">
        <w:t> předmětem plněn</w:t>
      </w:r>
      <w:r w:rsidR="001D22C5">
        <w:t>í</w:t>
      </w:r>
      <w:r w:rsidR="0055650F">
        <w:t xml:space="preserve"> této </w:t>
      </w:r>
      <w:r w:rsidR="0055650F">
        <w:lastRenderedPageBreak/>
        <w:t>Prováděcí smlouvy</w:t>
      </w:r>
      <w:r w:rsidR="008B778A">
        <w:t xml:space="preserve">, a to </w:t>
      </w:r>
      <w:r>
        <w:t>na</w:t>
      </w:r>
      <w:r w:rsidR="0055650F">
        <w:t xml:space="preserve"> </w:t>
      </w:r>
      <w:r>
        <w:t>výzvu</w:t>
      </w:r>
      <w:r w:rsidR="0055650F">
        <w:t xml:space="preserve"> Objednatele</w:t>
      </w:r>
      <w:r>
        <w:t xml:space="preserve">, vznikne-li na straně Objednatele potřeba zodpovězení dalších znaleckých otázek, doplnění </w:t>
      </w:r>
      <w:r w:rsidR="0055650F">
        <w:t>Z</w:t>
      </w:r>
      <w:r>
        <w:t>naleck</w:t>
      </w:r>
      <w:r w:rsidR="0055650F">
        <w:t>ého</w:t>
      </w:r>
      <w:r>
        <w:t xml:space="preserve"> posudk</w:t>
      </w:r>
      <w:r w:rsidR="0055650F">
        <w:t>u</w:t>
      </w:r>
      <w:r>
        <w:t xml:space="preserve"> nebo provedení jiných odborných prací</w:t>
      </w:r>
      <w:r w:rsidR="0055650F">
        <w:t xml:space="preserve"> </w:t>
      </w:r>
      <w:r>
        <w:t xml:space="preserve">souvisejících </w:t>
      </w:r>
      <w:r w:rsidR="008B778A">
        <w:t>s předmětem plněn</w:t>
      </w:r>
      <w:r w:rsidR="001D22C5">
        <w:t>í</w:t>
      </w:r>
      <w:r w:rsidR="008B778A">
        <w:t xml:space="preserve"> této Prováděcí smlouvy</w:t>
      </w:r>
      <w:r>
        <w:t>.</w:t>
      </w:r>
    </w:p>
    <w:p w14:paraId="056DD018" w14:textId="04E91ABB" w:rsidR="006E7DF0" w:rsidRDefault="006667E7" w:rsidP="0055650F">
      <w:pPr>
        <w:pStyle w:val="Nadpis2"/>
        <w:numPr>
          <w:ilvl w:val="0"/>
          <w:numId w:val="0"/>
        </w:numPr>
        <w:spacing w:before="120" w:after="120" w:line="0" w:lineRule="atLeast"/>
        <w:ind w:left="1069"/>
      </w:pPr>
      <w:r>
        <w:tab/>
      </w:r>
      <w:r w:rsidR="006E7DF0">
        <w:t>(dále jen „</w:t>
      </w:r>
      <w:r w:rsidR="006E7DF0" w:rsidRPr="006E7DF0">
        <w:rPr>
          <w:b/>
          <w:bCs/>
          <w:i/>
          <w:iCs/>
        </w:rPr>
        <w:t>Související plnění</w:t>
      </w:r>
      <w:r w:rsidR="006E7DF0">
        <w:t>“)</w:t>
      </w:r>
      <w:r w:rsidR="005D3D17">
        <w:t>;</w:t>
      </w:r>
    </w:p>
    <w:p w14:paraId="0BEA1EB0" w14:textId="3998B1AE" w:rsidR="00144911" w:rsidRDefault="00C62080" w:rsidP="00C62080">
      <w:pPr>
        <w:pStyle w:val="Nadpis2"/>
        <w:numPr>
          <w:ilvl w:val="0"/>
          <w:numId w:val="0"/>
        </w:numPr>
        <w:spacing w:before="120" w:after="120" w:line="0" w:lineRule="atLeast"/>
      </w:pPr>
      <w:r>
        <w:tab/>
      </w:r>
      <w:r>
        <w:tab/>
      </w:r>
      <w:r w:rsidR="00144911">
        <w:t>(</w:t>
      </w:r>
      <w:r w:rsidR="008B778A">
        <w:t xml:space="preserve">Znalecký posudek a Související plnění </w:t>
      </w:r>
      <w:r w:rsidR="00144911">
        <w:t>společně dále jen „</w:t>
      </w:r>
      <w:r w:rsidR="00144911" w:rsidRPr="00144911">
        <w:rPr>
          <w:b/>
          <w:bCs/>
          <w:i/>
          <w:iCs/>
        </w:rPr>
        <w:t>Služby</w:t>
      </w:r>
      <w:r w:rsidR="00144911">
        <w:t>“)</w:t>
      </w:r>
      <w:r w:rsidR="00B56665">
        <w:t>.</w:t>
      </w:r>
    </w:p>
    <w:p w14:paraId="3E498041" w14:textId="7DB33825" w:rsidR="005D3D17" w:rsidRDefault="00073A67" w:rsidP="00073A67">
      <w:pPr>
        <w:pStyle w:val="Nadpis2"/>
        <w:numPr>
          <w:ilvl w:val="0"/>
          <w:numId w:val="3"/>
        </w:numPr>
        <w:tabs>
          <w:tab w:val="num" w:pos="360"/>
        </w:tabs>
        <w:spacing w:before="120" w:after="120" w:line="0" w:lineRule="atLeast"/>
        <w:ind w:left="709" w:hanging="283"/>
      </w:pPr>
      <w:r>
        <w:t>Výstupem poskytovaných Služeb bude</w:t>
      </w:r>
      <w:r w:rsidR="006667E7">
        <w:t>:</w:t>
      </w:r>
    </w:p>
    <w:p w14:paraId="73CB4082" w14:textId="16938AD8" w:rsidR="00073A67" w:rsidRPr="005D3D17" w:rsidRDefault="005D3D17" w:rsidP="005D3D17">
      <w:pPr>
        <w:pStyle w:val="Nadpis2"/>
        <w:numPr>
          <w:ilvl w:val="0"/>
          <w:numId w:val="30"/>
        </w:numPr>
        <w:spacing w:before="120" w:after="120" w:line="0" w:lineRule="atLeast"/>
      </w:pPr>
      <w:r>
        <w:rPr>
          <w:szCs w:val="22"/>
          <w:lang w:eastAsia="cs-CZ"/>
        </w:rPr>
        <w:t>Z</w:t>
      </w:r>
      <w:r w:rsidR="00A95940">
        <w:rPr>
          <w:szCs w:val="22"/>
          <w:lang w:eastAsia="cs-CZ"/>
        </w:rPr>
        <w:t xml:space="preserve">nalecký posudek dle čl. I. odst. 1 </w:t>
      </w:r>
      <w:r>
        <w:rPr>
          <w:szCs w:val="22"/>
          <w:lang w:eastAsia="cs-CZ"/>
        </w:rPr>
        <w:t xml:space="preserve">písm. a) </w:t>
      </w:r>
      <w:r w:rsidR="00A95940">
        <w:rPr>
          <w:szCs w:val="22"/>
          <w:lang w:eastAsia="cs-CZ"/>
        </w:rPr>
        <w:t>této Prováděcí smlouvy</w:t>
      </w:r>
      <w:r w:rsidR="00073A67" w:rsidRPr="00876ACB">
        <w:rPr>
          <w:szCs w:val="22"/>
          <w:lang w:eastAsia="cs-CZ"/>
        </w:rPr>
        <w:t>.</w:t>
      </w:r>
    </w:p>
    <w:p w14:paraId="5B7C7FEC" w14:textId="167CAC12" w:rsidR="005D3D17" w:rsidRDefault="005D3D17" w:rsidP="005D3D17">
      <w:pPr>
        <w:pStyle w:val="Nadpis2"/>
        <w:numPr>
          <w:ilvl w:val="0"/>
          <w:numId w:val="30"/>
        </w:numPr>
        <w:spacing w:before="120" w:after="120" w:line="0" w:lineRule="atLeast"/>
      </w:pPr>
      <w:r>
        <w:t xml:space="preserve">doplněný </w:t>
      </w:r>
      <w:r w:rsidR="00E411B1">
        <w:t>Z</w:t>
      </w:r>
      <w:r>
        <w:t>nalecký posudek nebo</w:t>
      </w:r>
      <w:r w:rsidR="00E15071">
        <w:t xml:space="preserve"> poradenské či konzultační služby</w:t>
      </w:r>
      <w:r w:rsidR="006667E7">
        <w:t xml:space="preserve">, a to </w:t>
      </w:r>
      <w:r w:rsidR="00E411B1">
        <w:t>podle</w:t>
      </w:r>
      <w:r>
        <w:t xml:space="preserve"> povahy </w:t>
      </w:r>
      <w:r w:rsidR="001D22C5">
        <w:t xml:space="preserve">Souvisejícího plnění </w:t>
      </w:r>
      <w:bookmarkStart w:id="3" w:name="_Hlk175911838"/>
      <w:r w:rsidR="00CE564D" w:rsidRPr="00CE564D">
        <w:t xml:space="preserve">dle čl. I. odst. </w:t>
      </w:r>
      <w:r w:rsidR="00CD1E0A">
        <w:t>1</w:t>
      </w:r>
      <w:r w:rsidR="00CE564D" w:rsidRPr="00CE564D">
        <w:t xml:space="preserve"> písm. </w:t>
      </w:r>
      <w:r w:rsidR="00CE564D">
        <w:t>b</w:t>
      </w:r>
      <w:r w:rsidR="00CE564D" w:rsidRPr="00CE564D">
        <w:t>) této Prováděcí smlouvy</w:t>
      </w:r>
      <w:bookmarkEnd w:id="3"/>
      <w:r w:rsidR="00CE564D">
        <w:t>.</w:t>
      </w:r>
    </w:p>
    <w:p w14:paraId="5776B9B4" w14:textId="77777777" w:rsidR="00073A67" w:rsidRDefault="00073A67" w:rsidP="00073A67">
      <w:pPr>
        <w:spacing w:before="120" w:after="120" w:line="0" w:lineRule="atLeast"/>
      </w:pPr>
    </w:p>
    <w:p w14:paraId="00BF1F9D" w14:textId="77777777" w:rsidR="00073A67" w:rsidRPr="00B94F6D" w:rsidRDefault="00073A67" w:rsidP="00073A67">
      <w:pPr>
        <w:pStyle w:val="Nadpis1"/>
        <w:spacing w:before="120" w:line="0" w:lineRule="atLeast"/>
        <w:ind w:firstLine="0"/>
        <w:rPr>
          <w:bCs/>
        </w:rPr>
      </w:pPr>
      <w:r w:rsidRPr="00B94F6D">
        <w:rPr>
          <w:bCs/>
        </w:rPr>
        <w:t>Článek II.</w:t>
      </w:r>
      <w:r w:rsidRPr="00B94F6D">
        <w:rPr>
          <w:bCs/>
        </w:rPr>
        <w:br/>
        <w:t>Místo a doba poskytování Služeb</w:t>
      </w:r>
    </w:p>
    <w:p w14:paraId="3F2C68C2" w14:textId="77777777" w:rsidR="00073A67" w:rsidRDefault="00073A67" w:rsidP="00073A67">
      <w:pPr>
        <w:pStyle w:val="Nadpis2"/>
        <w:numPr>
          <w:ilvl w:val="0"/>
          <w:numId w:val="4"/>
        </w:numPr>
        <w:tabs>
          <w:tab w:val="clear" w:pos="426"/>
          <w:tab w:val="num" w:pos="360"/>
        </w:tabs>
        <w:spacing w:before="120" w:after="120" w:line="0" w:lineRule="atLeast"/>
        <w:ind w:left="709" w:hanging="283"/>
      </w:pPr>
      <w:r>
        <w:t xml:space="preserve">Místem plnění je </w:t>
      </w:r>
      <w:bookmarkStart w:id="4" w:name="_Hlk174718625"/>
      <w:r>
        <w:t>Zdravotní pojišťovna ministerstva vnitra České republiky, Vinohradská 2577/178, Vinohrady, 130 00 Praha 3, případně sídlo Poskytovatele</w:t>
      </w:r>
      <w:bookmarkEnd w:id="4"/>
      <w:r>
        <w:t>.</w:t>
      </w:r>
    </w:p>
    <w:p w14:paraId="3D80ED3E" w14:textId="77777777" w:rsidR="0047047C" w:rsidRPr="0047047C" w:rsidRDefault="004069DC" w:rsidP="004069DC">
      <w:pPr>
        <w:pStyle w:val="Nadpis2"/>
        <w:numPr>
          <w:ilvl w:val="0"/>
          <w:numId w:val="4"/>
        </w:numPr>
        <w:tabs>
          <w:tab w:val="clear" w:pos="426"/>
          <w:tab w:val="num" w:pos="360"/>
        </w:tabs>
        <w:spacing w:before="120" w:after="120" w:line="0" w:lineRule="atLeast"/>
        <w:ind w:left="709" w:hanging="283"/>
      </w:pPr>
      <w:r w:rsidRPr="004069DC">
        <w:rPr>
          <w:szCs w:val="22"/>
          <w:lang w:eastAsia="cs-CZ"/>
        </w:rPr>
        <w:t xml:space="preserve">Termín dodání </w:t>
      </w:r>
      <w:r w:rsidR="0058267D">
        <w:rPr>
          <w:szCs w:val="22"/>
          <w:lang w:eastAsia="cs-CZ"/>
        </w:rPr>
        <w:t>Z</w:t>
      </w:r>
      <w:r w:rsidRPr="004069DC">
        <w:rPr>
          <w:szCs w:val="22"/>
          <w:lang w:eastAsia="cs-CZ"/>
        </w:rPr>
        <w:t xml:space="preserve">naleckého posudku je </w:t>
      </w:r>
      <w:r w:rsidRPr="0058267D">
        <w:rPr>
          <w:szCs w:val="22"/>
          <w:lang w:eastAsia="cs-CZ"/>
        </w:rPr>
        <w:t xml:space="preserve">nejpozději do třiceti </w:t>
      </w:r>
      <w:r w:rsidR="00391665">
        <w:rPr>
          <w:szCs w:val="22"/>
          <w:lang w:eastAsia="cs-CZ"/>
        </w:rPr>
        <w:t>(</w:t>
      </w:r>
      <w:r w:rsidR="00391665" w:rsidRPr="0058267D">
        <w:rPr>
          <w:szCs w:val="22"/>
          <w:lang w:eastAsia="cs-CZ"/>
        </w:rPr>
        <w:t>30</w:t>
      </w:r>
      <w:r w:rsidR="00391665">
        <w:rPr>
          <w:szCs w:val="22"/>
          <w:lang w:eastAsia="cs-CZ"/>
        </w:rPr>
        <w:t xml:space="preserve">) </w:t>
      </w:r>
      <w:r w:rsidRPr="0058267D">
        <w:rPr>
          <w:szCs w:val="22"/>
          <w:lang w:eastAsia="cs-CZ"/>
        </w:rPr>
        <w:t>kalendářních dnů</w:t>
      </w:r>
      <w:r w:rsidRPr="004069DC">
        <w:rPr>
          <w:szCs w:val="22"/>
          <w:lang w:eastAsia="cs-CZ"/>
        </w:rPr>
        <w:t xml:space="preserve"> ode dne předání </w:t>
      </w:r>
      <w:r>
        <w:rPr>
          <w:szCs w:val="22"/>
          <w:lang w:eastAsia="cs-CZ"/>
        </w:rPr>
        <w:t>ZD</w:t>
      </w:r>
      <w:r w:rsidRPr="004069DC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O</w:t>
      </w:r>
      <w:r w:rsidRPr="004069DC">
        <w:rPr>
          <w:szCs w:val="22"/>
          <w:lang w:eastAsia="cs-CZ"/>
        </w:rPr>
        <w:t xml:space="preserve">bjednatelem </w:t>
      </w:r>
      <w:r>
        <w:rPr>
          <w:szCs w:val="22"/>
          <w:lang w:eastAsia="cs-CZ"/>
        </w:rPr>
        <w:t>Poskytovateli</w:t>
      </w:r>
      <w:r w:rsidRPr="004069DC">
        <w:rPr>
          <w:szCs w:val="22"/>
          <w:lang w:eastAsia="cs-CZ"/>
        </w:rPr>
        <w:t xml:space="preserve">. Předání </w:t>
      </w:r>
      <w:r>
        <w:rPr>
          <w:szCs w:val="22"/>
          <w:lang w:eastAsia="cs-CZ"/>
        </w:rPr>
        <w:t>ZD</w:t>
      </w:r>
      <w:r w:rsidRPr="004069DC">
        <w:rPr>
          <w:szCs w:val="22"/>
          <w:lang w:eastAsia="cs-CZ"/>
        </w:rPr>
        <w:t xml:space="preserve"> si </w:t>
      </w:r>
      <w:r>
        <w:rPr>
          <w:szCs w:val="22"/>
          <w:lang w:eastAsia="cs-CZ"/>
        </w:rPr>
        <w:t>S</w:t>
      </w:r>
      <w:r w:rsidRPr="004069DC">
        <w:rPr>
          <w:szCs w:val="22"/>
          <w:lang w:eastAsia="cs-CZ"/>
        </w:rPr>
        <w:t>mluvní strany písemně potvrdí.</w:t>
      </w:r>
      <w:r w:rsidR="00A23086">
        <w:rPr>
          <w:szCs w:val="22"/>
          <w:lang w:eastAsia="cs-CZ"/>
        </w:rPr>
        <w:t xml:space="preserve"> </w:t>
      </w:r>
    </w:p>
    <w:p w14:paraId="25BBA017" w14:textId="29F512CC" w:rsidR="00073A67" w:rsidRDefault="00A23086" w:rsidP="004069DC">
      <w:pPr>
        <w:pStyle w:val="Nadpis2"/>
        <w:numPr>
          <w:ilvl w:val="0"/>
          <w:numId w:val="4"/>
        </w:numPr>
        <w:tabs>
          <w:tab w:val="clear" w:pos="426"/>
          <w:tab w:val="num" w:pos="360"/>
        </w:tabs>
        <w:spacing w:before="120" w:after="120" w:line="0" w:lineRule="atLeast"/>
        <w:ind w:left="709" w:hanging="283"/>
      </w:pPr>
      <w:r>
        <w:rPr>
          <w:szCs w:val="22"/>
          <w:lang w:eastAsia="cs-CZ"/>
        </w:rPr>
        <w:t xml:space="preserve">Související plnění bude </w:t>
      </w:r>
      <w:r w:rsidR="00391665">
        <w:rPr>
          <w:szCs w:val="22"/>
          <w:lang w:eastAsia="cs-CZ"/>
        </w:rPr>
        <w:t xml:space="preserve">Objednateli </w:t>
      </w:r>
      <w:r>
        <w:rPr>
          <w:szCs w:val="22"/>
          <w:lang w:eastAsia="cs-CZ"/>
        </w:rPr>
        <w:t>poskyt</w:t>
      </w:r>
      <w:r w:rsidR="002A209E">
        <w:rPr>
          <w:szCs w:val="22"/>
          <w:lang w:eastAsia="cs-CZ"/>
        </w:rPr>
        <w:t>ováno</w:t>
      </w:r>
      <w:r w:rsidR="00391665">
        <w:rPr>
          <w:szCs w:val="22"/>
          <w:lang w:eastAsia="cs-CZ"/>
        </w:rPr>
        <w:t xml:space="preserve"> </w:t>
      </w:r>
      <w:r w:rsidR="00BE131F">
        <w:rPr>
          <w:szCs w:val="22"/>
          <w:lang w:eastAsia="cs-CZ"/>
        </w:rPr>
        <w:t xml:space="preserve">po dobu účinnosti této Prováděcí smlouvy dle čl. VI. odst. 1, </w:t>
      </w:r>
      <w:r w:rsidR="00391665">
        <w:rPr>
          <w:szCs w:val="22"/>
          <w:lang w:eastAsia="cs-CZ"/>
        </w:rPr>
        <w:t xml:space="preserve">na základě výzvy </w:t>
      </w:r>
      <w:r w:rsidR="00BE131F">
        <w:rPr>
          <w:szCs w:val="22"/>
          <w:lang w:eastAsia="cs-CZ"/>
        </w:rPr>
        <w:t xml:space="preserve">a dle potřeb </w:t>
      </w:r>
      <w:r w:rsidR="00391665">
        <w:rPr>
          <w:szCs w:val="22"/>
          <w:lang w:eastAsia="cs-CZ"/>
        </w:rPr>
        <w:t>Objednatele</w:t>
      </w:r>
      <w:r w:rsidR="0047047C">
        <w:rPr>
          <w:szCs w:val="22"/>
          <w:lang w:eastAsia="cs-CZ"/>
        </w:rPr>
        <w:t xml:space="preserve"> </w:t>
      </w:r>
      <w:r w:rsidR="006667E7">
        <w:rPr>
          <w:szCs w:val="22"/>
          <w:lang w:eastAsia="cs-CZ"/>
        </w:rPr>
        <w:t>v souladu s</w:t>
      </w:r>
      <w:r w:rsidR="006667E7" w:rsidRPr="006667E7">
        <w:rPr>
          <w:szCs w:val="22"/>
          <w:lang w:eastAsia="cs-CZ"/>
        </w:rPr>
        <w:t xml:space="preserve"> čl. I. odst. </w:t>
      </w:r>
      <w:r w:rsidR="002A209E">
        <w:rPr>
          <w:szCs w:val="22"/>
          <w:lang w:eastAsia="cs-CZ"/>
        </w:rPr>
        <w:t xml:space="preserve">1 </w:t>
      </w:r>
      <w:r w:rsidR="006667E7" w:rsidRPr="006667E7">
        <w:rPr>
          <w:szCs w:val="22"/>
          <w:lang w:eastAsia="cs-CZ"/>
        </w:rPr>
        <w:t>písm. b) této Prováděcí smlouvy</w:t>
      </w:r>
      <w:r w:rsidR="006667E7">
        <w:rPr>
          <w:szCs w:val="22"/>
          <w:lang w:eastAsia="cs-CZ"/>
        </w:rPr>
        <w:t>.</w:t>
      </w:r>
    </w:p>
    <w:p w14:paraId="29F9477B" w14:textId="77777777" w:rsidR="00073A67" w:rsidRDefault="00073A67" w:rsidP="00073A67">
      <w:pPr>
        <w:spacing w:before="120" w:after="120" w:line="0" w:lineRule="atLeast"/>
        <w:rPr>
          <w:lang w:eastAsia="en-US"/>
        </w:rPr>
      </w:pPr>
    </w:p>
    <w:p w14:paraId="5B380B34" w14:textId="77777777" w:rsidR="00073A67" w:rsidRPr="00B94F6D" w:rsidRDefault="00073A67" w:rsidP="00073A67">
      <w:pPr>
        <w:pStyle w:val="Nadpis1"/>
        <w:spacing w:before="120" w:line="0" w:lineRule="atLeast"/>
        <w:ind w:firstLine="0"/>
        <w:rPr>
          <w:rFonts w:eastAsia="Times New Roman"/>
          <w:bCs/>
        </w:rPr>
      </w:pPr>
      <w:r w:rsidRPr="00B94F6D">
        <w:rPr>
          <w:bCs/>
        </w:rPr>
        <w:t>Článek III.</w:t>
      </w:r>
      <w:r w:rsidRPr="00B94F6D">
        <w:rPr>
          <w:rFonts w:eastAsia="Times New Roman"/>
          <w:bCs/>
        </w:rPr>
        <w:br/>
      </w:r>
      <w:r>
        <w:rPr>
          <w:rFonts w:eastAsia="Times New Roman"/>
          <w:bCs/>
        </w:rPr>
        <w:t>Předání a a</w:t>
      </w:r>
      <w:r w:rsidRPr="00B94F6D">
        <w:rPr>
          <w:rFonts w:eastAsia="Times New Roman"/>
          <w:bCs/>
        </w:rPr>
        <w:t>kceptace výsledků plnění</w:t>
      </w:r>
    </w:p>
    <w:p w14:paraId="1012BBB6" w14:textId="6380413E" w:rsidR="00073A67" w:rsidRPr="00B94F6D" w:rsidRDefault="00073A67" w:rsidP="00073A67">
      <w:pPr>
        <w:pStyle w:val="Nadpis2"/>
        <w:numPr>
          <w:ilvl w:val="0"/>
          <w:numId w:val="7"/>
        </w:numPr>
        <w:tabs>
          <w:tab w:val="clear" w:pos="426"/>
          <w:tab w:val="num" w:pos="360"/>
          <w:tab w:val="left" w:pos="851"/>
        </w:tabs>
        <w:spacing w:before="120" w:after="120" w:line="0" w:lineRule="atLeast"/>
        <w:ind w:left="709" w:hanging="283"/>
      </w:pPr>
      <w:r>
        <w:t>Smluvní strany sjednávají, že předání a akceptace výsledků Služeb proběhne v</w:t>
      </w:r>
      <w:r w:rsidR="00371B20">
        <w:t> </w:t>
      </w:r>
      <w:r>
        <w:t xml:space="preserve">souladu s čl. III. Rámcové dohody. </w:t>
      </w:r>
    </w:p>
    <w:p w14:paraId="39B7E539" w14:textId="5812443D" w:rsidR="00073A67" w:rsidRPr="00B94F6D" w:rsidRDefault="00073A67" w:rsidP="00073A67">
      <w:pPr>
        <w:pStyle w:val="Nadpis2"/>
        <w:numPr>
          <w:ilvl w:val="0"/>
          <w:numId w:val="7"/>
        </w:numPr>
        <w:tabs>
          <w:tab w:val="clear" w:pos="426"/>
          <w:tab w:val="num" w:pos="360"/>
          <w:tab w:val="left" w:pos="851"/>
        </w:tabs>
        <w:spacing w:before="120" w:after="120" w:line="0" w:lineRule="atLeast"/>
        <w:ind w:left="709" w:hanging="283"/>
      </w:pPr>
      <w:r>
        <w:t xml:space="preserve">Výstupy Služeb budou </w:t>
      </w:r>
      <w:r w:rsidR="00A95940">
        <w:t xml:space="preserve">Poskytovatelem Objednateli </w:t>
      </w:r>
      <w:r>
        <w:t>předány</w:t>
      </w:r>
      <w:r w:rsidR="00A95940">
        <w:t xml:space="preserve"> </w:t>
      </w:r>
      <w:r w:rsidR="00A95940" w:rsidRPr="00A95940">
        <w:t>v</w:t>
      </w:r>
      <w:r w:rsidR="0058267D">
        <w:t>e 2 (slovy: dvou)</w:t>
      </w:r>
      <w:r w:rsidR="00A95940" w:rsidRPr="00A95940">
        <w:t xml:space="preserve"> listinn</w:t>
      </w:r>
      <w:r w:rsidR="0058267D">
        <w:t>ých</w:t>
      </w:r>
      <w:r w:rsidR="00A95940" w:rsidRPr="00A95940">
        <w:t xml:space="preserve"> originální</w:t>
      </w:r>
      <w:r w:rsidR="0058267D">
        <w:t>ch</w:t>
      </w:r>
      <w:r w:rsidR="00A95940" w:rsidRPr="00A95940">
        <w:t xml:space="preserve"> vyhotovení</w:t>
      </w:r>
      <w:r w:rsidR="0058267D">
        <w:t>ch</w:t>
      </w:r>
      <w:r w:rsidR="00A95940" w:rsidRPr="00A95940">
        <w:t xml:space="preserve"> a 1 </w:t>
      </w:r>
      <w:r w:rsidR="0058267D">
        <w:t xml:space="preserve">(slovy: jednou) </w:t>
      </w:r>
      <w:r w:rsidR="00A95940" w:rsidRPr="00A95940">
        <w:t>v elektronické podobě v sídle Objednatele</w:t>
      </w:r>
      <w:r w:rsidR="00A95940">
        <w:t>.</w:t>
      </w:r>
    </w:p>
    <w:p w14:paraId="0CF9C724" w14:textId="77777777" w:rsidR="00073A67" w:rsidRDefault="00073A67" w:rsidP="00073A67">
      <w:pPr>
        <w:spacing w:before="120" w:after="120" w:line="0" w:lineRule="atLeast"/>
        <w:rPr>
          <w:lang w:eastAsia="en-US"/>
        </w:rPr>
      </w:pPr>
    </w:p>
    <w:p w14:paraId="41246923" w14:textId="60888917" w:rsidR="007763C4" w:rsidRPr="007763C4" w:rsidRDefault="00073A67" w:rsidP="007763C4">
      <w:pPr>
        <w:pStyle w:val="Nadpis1"/>
        <w:spacing w:before="120" w:line="0" w:lineRule="atLeast"/>
        <w:ind w:firstLine="0"/>
        <w:rPr>
          <w:rFonts w:eastAsia="Times New Roman"/>
          <w:bCs/>
        </w:rPr>
      </w:pPr>
      <w:r w:rsidRPr="00B94F6D">
        <w:rPr>
          <w:bCs/>
        </w:rPr>
        <w:t>Článek IV.</w:t>
      </w:r>
      <w:r w:rsidRPr="00B94F6D">
        <w:rPr>
          <w:bCs/>
        </w:rPr>
        <w:br/>
        <w:t>Rozsah plnění a cena Služeb</w:t>
      </w:r>
      <w:bookmarkStart w:id="5" w:name="_Ref28865274"/>
    </w:p>
    <w:p w14:paraId="38A480BB" w14:textId="7D79BC9D" w:rsidR="007763C4" w:rsidRPr="007763C4" w:rsidRDefault="007763C4" w:rsidP="008F71FB">
      <w:pPr>
        <w:pStyle w:val="Nadpis2"/>
        <w:numPr>
          <w:ilvl w:val="0"/>
          <w:numId w:val="49"/>
        </w:numPr>
        <w:tabs>
          <w:tab w:val="clear" w:pos="426"/>
        </w:tabs>
        <w:spacing w:before="120" w:after="120" w:line="0" w:lineRule="atLeast"/>
      </w:pPr>
      <w:r w:rsidRPr="007763C4">
        <w:t xml:space="preserve">Cena Služeb poskytovaných na základě této Prováděcí smlouvy je </w:t>
      </w:r>
      <w:r w:rsidRPr="007763C4">
        <w:rPr>
          <w:highlight w:val="yellow"/>
        </w:rPr>
        <w:t>[BUDE DOPLNĚNO</w:t>
      </w:r>
      <w:proofErr w:type="gramStart"/>
      <w:r w:rsidRPr="007763C4">
        <w:rPr>
          <w:highlight w:val="yellow"/>
        </w:rPr>
        <w:t>]</w:t>
      </w:r>
      <w:r w:rsidRPr="007763C4">
        <w:t>,-</w:t>
      </w:r>
      <w:proofErr w:type="gramEnd"/>
      <w:r w:rsidRPr="007763C4">
        <w:t xml:space="preserve"> Kč bez DPH za 1 člověkohodinu. K ceně bude připočtena DPH v</w:t>
      </w:r>
      <w:r w:rsidR="008F71FB">
        <w:t> </w:t>
      </w:r>
      <w:r w:rsidRPr="007763C4">
        <w:t>zákonné výši.</w:t>
      </w:r>
    </w:p>
    <w:p w14:paraId="50C426EF" w14:textId="74EB19B0" w:rsidR="00073A67" w:rsidRDefault="007763C4" w:rsidP="008F71FB">
      <w:pPr>
        <w:pStyle w:val="Nadpis2"/>
        <w:numPr>
          <w:ilvl w:val="0"/>
          <w:numId w:val="49"/>
        </w:numPr>
        <w:tabs>
          <w:tab w:val="clear" w:pos="426"/>
        </w:tabs>
        <w:spacing w:before="120" w:after="120" w:line="0" w:lineRule="atLeast"/>
      </w:pPr>
      <w:r>
        <w:t>Smluvní strany se dohodly, že r</w:t>
      </w:r>
      <w:r w:rsidRPr="007763C4">
        <w:t xml:space="preserve">ozsah plnění </w:t>
      </w:r>
      <w:r>
        <w:t>za Znalecký posudek</w:t>
      </w:r>
      <w:r w:rsidRPr="007763C4">
        <w:t xml:space="preserve"> </w:t>
      </w:r>
      <w:proofErr w:type="gramStart"/>
      <w:r w:rsidR="008F71FB">
        <w:t>nepřekročí</w:t>
      </w:r>
      <w:proofErr w:type="gramEnd"/>
      <w:r w:rsidRPr="007763C4">
        <w:t xml:space="preserve"> </w:t>
      </w:r>
      <w:r w:rsidRPr="007763C4">
        <w:rPr>
          <w:highlight w:val="yellow"/>
        </w:rPr>
        <w:t>[BUDE DOPLNĚNO]</w:t>
      </w:r>
      <w:r w:rsidRPr="007763C4">
        <w:t xml:space="preserve"> člověkohodin</w:t>
      </w:r>
      <w:r>
        <w:t>.</w:t>
      </w:r>
      <w:r w:rsidRPr="007763C4">
        <w:t xml:space="preserve"> </w:t>
      </w:r>
      <w:r w:rsidR="00073A67">
        <w:t>C</w:t>
      </w:r>
      <w:r>
        <w:t>elková c</w:t>
      </w:r>
      <w:r w:rsidR="00073A67">
        <w:t xml:space="preserve">ena </w:t>
      </w:r>
      <w:r w:rsidR="007B255D">
        <w:t xml:space="preserve">za Znalecký posudek </w:t>
      </w:r>
      <w:r>
        <w:t xml:space="preserve">tak </w:t>
      </w:r>
      <w:r w:rsidR="004F3C2F">
        <w:t xml:space="preserve">činí </w:t>
      </w:r>
      <w:r w:rsidR="008F71FB">
        <w:t xml:space="preserve">maximálně </w:t>
      </w:r>
      <w:r w:rsidR="004F3C2F" w:rsidRPr="007763C4">
        <w:rPr>
          <w:highlight w:val="yellow"/>
        </w:rPr>
        <w:t>[BUDE DOPLNĚNO</w:t>
      </w:r>
      <w:proofErr w:type="gramStart"/>
      <w:r w:rsidR="004F3C2F" w:rsidRPr="007763C4">
        <w:rPr>
          <w:highlight w:val="yellow"/>
        </w:rPr>
        <w:t>]</w:t>
      </w:r>
      <w:r w:rsidR="004F3C2F" w:rsidRPr="004F3C2F">
        <w:t>,-</w:t>
      </w:r>
      <w:proofErr w:type="gramEnd"/>
      <w:r w:rsidR="004F3C2F" w:rsidRPr="004F3C2F">
        <w:t xml:space="preserve"> Kč bez DPH</w:t>
      </w:r>
      <w:r w:rsidR="004F3C2F">
        <w:t>.</w:t>
      </w:r>
      <w:r w:rsidR="004F3C2F" w:rsidRPr="004F3C2F">
        <w:t xml:space="preserve"> </w:t>
      </w:r>
      <w:bookmarkEnd w:id="5"/>
    </w:p>
    <w:p w14:paraId="10167824" w14:textId="3B1C15D7" w:rsidR="00073A67" w:rsidRDefault="002A209E" w:rsidP="008F71FB">
      <w:pPr>
        <w:pStyle w:val="Nadpis2"/>
        <w:numPr>
          <w:ilvl w:val="0"/>
          <w:numId w:val="49"/>
        </w:numPr>
        <w:tabs>
          <w:tab w:val="clear" w:pos="426"/>
        </w:tabs>
        <w:spacing w:before="120" w:after="120" w:line="0" w:lineRule="atLeast"/>
      </w:pPr>
      <w:r>
        <w:t xml:space="preserve">Smluvní strany se dohodly, že rozsah </w:t>
      </w:r>
      <w:r w:rsidR="000F1657">
        <w:t xml:space="preserve">Souvisejícího </w:t>
      </w:r>
      <w:r>
        <w:t xml:space="preserve">plnění </w:t>
      </w:r>
      <w:proofErr w:type="gramStart"/>
      <w:r w:rsidRPr="002A209E">
        <w:t>nepřekročí</w:t>
      </w:r>
      <w:proofErr w:type="gramEnd"/>
      <w:r w:rsidR="008A35EB">
        <w:t xml:space="preserve"> </w:t>
      </w:r>
      <w:r w:rsidR="00C039F7">
        <w:t>10</w:t>
      </w:r>
      <w:r w:rsidR="00AF4C96">
        <w:t xml:space="preserve">00 </w:t>
      </w:r>
      <w:r w:rsidR="00C039F7">
        <w:t xml:space="preserve">(slovy: tisíc) </w:t>
      </w:r>
      <w:r w:rsidR="00AF4C96">
        <w:t>člověkohodin</w:t>
      </w:r>
      <w:r w:rsidR="000F1657">
        <w:t xml:space="preserve"> po dobu trvání této Prováděcí smlouvy</w:t>
      </w:r>
      <w:r w:rsidR="00073A67">
        <w:t>.</w:t>
      </w:r>
    </w:p>
    <w:p w14:paraId="490BC456" w14:textId="7BD783D5" w:rsidR="00073A67" w:rsidRPr="004158EC" w:rsidRDefault="002A209E" w:rsidP="008F71FB">
      <w:pPr>
        <w:pStyle w:val="Nadpis2"/>
        <w:numPr>
          <w:ilvl w:val="0"/>
          <w:numId w:val="49"/>
        </w:numPr>
        <w:tabs>
          <w:tab w:val="clear" w:pos="426"/>
        </w:tabs>
        <w:spacing w:before="120" w:after="120" w:line="0" w:lineRule="atLeast"/>
        <w:rPr>
          <w:bCs/>
          <w:szCs w:val="20"/>
        </w:rPr>
      </w:pPr>
      <w:r>
        <w:lastRenderedPageBreak/>
        <w:t>Další p</w:t>
      </w:r>
      <w:r w:rsidR="00073A67">
        <w:t>latební podmínky jsou sjednány v Rámcov</w:t>
      </w:r>
      <w:r w:rsidR="00104068">
        <w:t>é</w:t>
      </w:r>
      <w:r w:rsidR="00073A67">
        <w:t xml:space="preserve"> dohod</w:t>
      </w:r>
      <w:r w:rsidR="00104068">
        <w:t>ě</w:t>
      </w:r>
      <w:r w:rsidR="00073A67">
        <w:t>.</w:t>
      </w:r>
    </w:p>
    <w:p w14:paraId="6377E71D" w14:textId="77777777" w:rsidR="00073A67" w:rsidRDefault="00073A67" w:rsidP="00073A67">
      <w:pPr>
        <w:pStyle w:val="Nadpis1"/>
        <w:spacing w:before="120" w:line="0" w:lineRule="atLeast"/>
        <w:ind w:left="0" w:firstLine="0"/>
        <w:jc w:val="left"/>
      </w:pPr>
    </w:p>
    <w:p w14:paraId="09EA3581" w14:textId="77777777" w:rsidR="00073A67" w:rsidRPr="00B94F6D" w:rsidRDefault="00073A67" w:rsidP="00073A67">
      <w:pPr>
        <w:pStyle w:val="Nadpis1"/>
        <w:spacing w:before="120" w:line="0" w:lineRule="atLeast"/>
        <w:ind w:firstLine="0"/>
        <w:rPr>
          <w:bCs/>
        </w:rPr>
      </w:pPr>
      <w:r w:rsidRPr="00B94F6D">
        <w:rPr>
          <w:bCs/>
        </w:rPr>
        <w:t>Článek V.</w:t>
      </w:r>
      <w:r w:rsidRPr="00B94F6D">
        <w:rPr>
          <w:bCs/>
        </w:rPr>
        <w:br/>
        <w:t xml:space="preserve">Další podmínky </w:t>
      </w:r>
    </w:p>
    <w:p w14:paraId="3359B58E" w14:textId="39F3B273" w:rsidR="00D86E43" w:rsidRDefault="00D86E43" w:rsidP="00A5472A">
      <w:pPr>
        <w:pStyle w:val="Nadpis2"/>
        <w:numPr>
          <w:ilvl w:val="0"/>
          <w:numId w:val="37"/>
        </w:numPr>
        <w:spacing w:before="120" w:after="120" w:line="0" w:lineRule="atLeast"/>
      </w:pPr>
      <w:r w:rsidRPr="002E13C5">
        <w:rPr>
          <w:lang w:eastAsia="en-US"/>
        </w:rPr>
        <w:t xml:space="preserve">Poskytovatel </w:t>
      </w:r>
      <w:r w:rsidRPr="002E13C5">
        <w:t>se zavazuje zachová</w:t>
      </w:r>
      <w:r w:rsidR="00677855">
        <w:t>vat</w:t>
      </w:r>
      <w:r w:rsidRPr="002E13C5">
        <w:t xml:space="preserve"> mlčenlivost o všech skutečnostech, o nichž se dozvěděl v souvislosti s plněním předmětu této </w:t>
      </w:r>
      <w:r w:rsidR="002F5F8C" w:rsidRPr="002E13C5">
        <w:t>Prováděcí smlouvy, a to v souladu s příslušnými ustanoveními této Prováděcí smlouvy a Rámcové dohody</w:t>
      </w:r>
      <w:r w:rsidR="005E7291" w:rsidRPr="005E7291">
        <w:t xml:space="preserve"> </w:t>
      </w:r>
      <w:r w:rsidR="005E7291">
        <w:t>a podklady, ani jejich kopie, nepředávat a neseznamovat s nimi třetí osoby.</w:t>
      </w:r>
      <w:r w:rsidR="00677855" w:rsidRPr="00677855">
        <w:t xml:space="preserve"> </w:t>
      </w:r>
      <w:r w:rsidR="00677855">
        <w:t>Poskytovatel není oprávněn sdělovat tyto informace ani po ukončení této Prováděcí smlouvy.</w:t>
      </w:r>
      <w:r w:rsidR="005D3D17">
        <w:t xml:space="preserve"> </w:t>
      </w:r>
    </w:p>
    <w:p w14:paraId="525F7037" w14:textId="16D1A63A" w:rsidR="005D3D17" w:rsidRPr="002E13C5" w:rsidRDefault="005D3D17" w:rsidP="00A5472A">
      <w:pPr>
        <w:pStyle w:val="Nadpis2"/>
        <w:numPr>
          <w:ilvl w:val="0"/>
          <w:numId w:val="37"/>
        </w:numPr>
        <w:spacing w:before="120" w:after="120" w:line="0" w:lineRule="atLeast"/>
      </w:pPr>
      <w:r w:rsidRPr="005D3D17">
        <w:t xml:space="preserve">Pokud bude </w:t>
      </w:r>
      <w:r w:rsidR="005E7291">
        <w:t>ZD</w:t>
      </w:r>
      <w:r w:rsidRPr="005D3D17">
        <w:t xml:space="preserve"> poskytnuta v listinné podobě, zavazuje se </w:t>
      </w:r>
      <w:r w:rsidR="005E7291">
        <w:t>Poskytovatel</w:t>
      </w:r>
      <w:r w:rsidRPr="005D3D17">
        <w:t xml:space="preserve"> poskytnutý materiál vrátit při předání </w:t>
      </w:r>
      <w:r w:rsidR="005E7291">
        <w:t>příslušného výstupu dle čl. I. odst. 2 této Prováděcí smlouvy</w:t>
      </w:r>
      <w:r w:rsidRPr="005D3D17">
        <w:t xml:space="preserve"> </w:t>
      </w:r>
      <w:r w:rsidR="005E7291">
        <w:t>O</w:t>
      </w:r>
      <w:r w:rsidRPr="005D3D17">
        <w:t>bjednateli</w:t>
      </w:r>
      <w:r w:rsidR="005E7291">
        <w:t>.</w:t>
      </w:r>
      <w:r w:rsidR="00FD3F1A">
        <w:t xml:space="preserve"> V případě prodlení s vrácením poskytnutého materiálu je Objednatel oprávněn požadovat po Poskytovateli zaplacení smluvní pokuty ve výši 1 000 Kč za každý i započatý den prodlení.</w:t>
      </w:r>
    </w:p>
    <w:p w14:paraId="7586AE0A" w14:textId="536C1B5F" w:rsidR="00073A67" w:rsidRPr="002E13C5" w:rsidRDefault="00D86E43" w:rsidP="00A5472A">
      <w:pPr>
        <w:pStyle w:val="Nadpis2"/>
        <w:numPr>
          <w:ilvl w:val="0"/>
          <w:numId w:val="37"/>
        </w:numPr>
        <w:spacing w:before="120" w:after="120" w:line="0" w:lineRule="atLeast"/>
      </w:pPr>
      <w:r w:rsidRPr="002E13C5">
        <w:t xml:space="preserve">Poskytovatel prohlašuje, že se </w:t>
      </w:r>
      <w:proofErr w:type="gramStart"/>
      <w:r w:rsidRPr="002E13C5">
        <w:t>nebude</w:t>
      </w:r>
      <w:proofErr w:type="gramEnd"/>
      <w:r w:rsidRPr="002E13C5">
        <w:t xml:space="preserve"> jakkoliv dále účastnit předmětného zadávacího řízení</w:t>
      </w:r>
      <w:r w:rsidR="002F5F8C" w:rsidRPr="002E13C5">
        <w:t xml:space="preserve"> veřejné zakázky „Pořízení nového pojišťovacího informačního systému ZP MV ČR“.</w:t>
      </w:r>
      <w:r w:rsidR="00FD3F1A">
        <w:t xml:space="preserve"> V případě porušení tohoto ustanovení Poskytovatelem je Objednatel oprávněn pořádávat po Poskytovateli zaplacení smluvní pokuty ve výši 50 000 Kč.</w:t>
      </w:r>
    </w:p>
    <w:p w14:paraId="4028F6C7" w14:textId="77777777" w:rsidR="00211861" w:rsidRDefault="00211861" w:rsidP="00073A67">
      <w:pPr>
        <w:pStyle w:val="Nadpis1"/>
        <w:spacing w:before="120" w:line="0" w:lineRule="atLeast"/>
        <w:ind w:firstLine="0"/>
        <w:rPr>
          <w:bCs/>
        </w:rPr>
      </w:pPr>
    </w:p>
    <w:p w14:paraId="4ACFAFD7" w14:textId="33AAF294" w:rsidR="00073A67" w:rsidRPr="00B94F6D" w:rsidRDefault="00073A67" w:rsidP="00073A67">
      <w:pPr>
        <w:pStyle w:val="Nadpis1"/>
        <w:spacing w:before="120" w:line="0" w:lineRule="atLeast"/>
        <w:ind w:firstLine="0"/>
        <w:rPr>
          <w:rFonts w:eastAsia="Times New Roman"/>
          <w:bCs/>
        </w:rPr>
      </w:pPr>
      <w:r w:rsidRPr="00B94F6D">
        <w:rPr>
          <w:bCs/>
        </w:rPr>
        <w:t>Článek VI.</w:t>
      </w:r>
    </w:p>
    <w:p w14:paraId="1C99AED6" w14:textId="77777777" w:rsidR="00073A67" w:rsidRPr="00B94F6D" w:rsidRDefault="00073A67" w:rsidP="00073A67">
      <w:pPr>
        <w:pStyle w:val="Nadpis1"/>
        <w:spacing w:before="120" w:line="0" w:lineRule="atLeast"/>
        <w:ind w:firstLine="0"/>
        <w:rPr>
          <w:bCs/>
        </w:rPr>
      </w:pPr>
      <w:r w:rsidRPr="00B94F6D">
        <w:rPr>
          <w:bCs/>
        </w:rPr>
        <w:t>Závěrečná ustanovení</w:t>
      </w:r>
      <w:bookmarkStart w:id="6" w:name="_Ref22820056"/>
    </w:p>
    <w:p w14:paraId="4ED51884" w14:textId="54955403" w:rsidR="00073A67" w:rsidRPr="00677855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  <w:rPr>
          <w:szCs w:val="22"/>
          <w:lang w:eastAsia="cs-CZ"/>
        </w:rPr>
      </w:pPr>
      <w:r>
        <w:t xml:space="preserve">Tato Prováděcí smlouva se uzavírá na dobu </w:t>
      </w:r>
      <w:r>
        <w:rPr>
          <w:lang w:eastAsia="en-US"/>
        </w:rPr>
        <w:t>určitou</w:t>
      </w:r>
      <w:r w:rsidR="00677855">
        <w:rPr>
          <w:szCs w:val="22"/>
          <w:lang w:eastAsia="cs-CZ"/>
        </w:rPr>
        <w:t xml:space="preserve">, a </w:t>
      </w:r>
      <w:r w:rsidR="00677855" w:rsidRPr="00677855">
        <w:rPr>
          <w:szCs w:val="22"/>
          <w:lang w:eastAsia="cs-CZ"/>
        </w:rPr>
        <w:t xml:space="preserve">to </w:t>
      </w:r>
      <w:r w:rsidR="00A23086">
        <w:rPr>
          <w:szCs w:val="22"/>
          <w:lang w:eastAsia="cs-CZ"/>
        </w:rPr>
        <w:t xml:space="preserve">do </w:t>
      </w:r>
      <w:r w:rsidR="00A23086" w:rsidRPr="00C039F7">
        <w:rPr>
          <w:szCs w:val="22"/>
          <w:lang w:eastAsia="cs-CZ"/>
        </w:rPr>
        <w:t>31</w:t>
      </w:r>
      <w:r w:rsidR="00677855" w:rsidRPr="00C039F7">
        <w:rPr>
          <w:szCs w:val="22"/>
          <w:lang w:eastAsia="cs-CZ"/>
        </w:rPr>
        <w:t>.</w:t>
      </w:r>
      <w:r w:rsidR="00A23086" w:rsidRPr="00C039F7">
        <w:rPr>
          <w:szCs w:val="22"/>
          <w:lang w:eastAsia="cs-CZ"/>
        </w:rPr>
        <w:t xml:space="preserve"> </w:t>
      </w:r>
      <w:r w:rsidR="00C039F7">
        <w:rPr>
          <w:szCs w:val="22"/>
          <w:lang w:eastAsia="cs-CZ"/>
        </w:rPr>
        <w:t>12</w:t>
      </w:r>
      <w:r w:rsidR="00A23086" w:rsidRPr="00C039F7">
        <w:rPr>
          <w:szCs w:val="22"/>
          <w:lang w:eastAsia="cs-CZ"/>
        </w:rPr>
        <w:t>. 202</w:t>
      </w:r>
      <w:r w:rsidR="00011AA8">
        <w:rPr>
          <w:szCs w:val="22"/>
          <w:lang w:eastAsia="cs-CZ"/>
        </w:rPr>
        <w:t>6</w:t>
      </w:r>
      <w:r w:rsidR="008E6468">
        <w:rPr>
          <w:szCs w:val="22"/>
          <w:lang w:eastAsia="cs-CZ"/>
        </w:rPr>
        <w:t>.</w:t>
      </w:r>
    </w:p>
    <w:p w14:paraId="601A5273" w14:textId="62B88138" w:rsidR="00073A67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</w:pPr>
      <w:r>
        <w:t xml:space="preserve">Tato Prováděcí smlouva nabývá platnosti a účinnosti dnem jejího podpisu oběma Smluvními stranami, není-li dále stanoveno jinak. Je-li pro nabytí účinnosti Prováděcí smlouvy vyžadováno její uveřejnění v Registru smluv dle zákona č. 340/2015 Sb., o zvláštních podmínkách účinnosti některých smluv, uveřejňování těchto smluv a o registru smluv (zákon o registru smluv), ve znění pozdějších předpisů (dále jen </w:t>
      </w:r>
      <w:r w:rsidR="00C039F7">
        <w:t>„</w:t>
      </w:r>
      <w:r>
        <w:rPr>
          <w:b/>
          <w:i/>
        </w:rPr>
        <w:t>zákon o registru smluv</w:t>
      </w:r>
      <w:r>
        <w:t>"), nabývá Prováděcí smlouva účinnosti dnem uveřejnění uzavřené Prováděcí smlouvy v Registru smluv dle odst. 3 a 4 tohoto článku.</w:t>
      </w:r>
    </w:p>
    <w:p w14:paraId="6CD9DF17" w14:textId="77777777" w:rsidR="00073A67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</w:pPr>
      <w:r>
        <w:t>Poskytovatel prohlašuje, že si je vědom toho, že Objednatel jako povinný subjekt dle zákona o registru smluv je povinen uveřejnit v Registru smluv, jehož správcem je Digitální a informační agentura, tuto Prováděcí smlouvu, včetně jejích případných změn a dodatků, za splnění podmínek k uveřejnění dle zákona o registru smluv, a s uveřejněním Prováděcí smlouvy, v plném znění, kromě částí výslovně označených, které spadají pod výjimky z uveřejnění dle zákona o registru smluv, souhlasí.</w:t>
      </w:r>
    </w:p>
    <w:p w14:paraId="7D5062F9" w14:textId="77777777" w:rsidR="00073A67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</w:pPr>
      <w:r>
        <w:t xml:space="preserve">Objednatel se zavazuje Prováděcí smlouvu, uveřejnit ve lhůtě do 15 dnů od jejího uzavření v Registru smluv. Poskytovatel je povinen po uplynutí této lhůty, nejpozději do 20 dnů ode dne, kdy byla Prováděcí smlouva, uzavřena, v Registru smluv ověřit, zda Objednatel Prováděcí smlouvu řádně uveřejnil, a pokud se tak nestalo, je povinen Prováděcí smlouvu uveřejnit sám a o této skutečnosti informovat Objednatele. </w:t>
      </w:r>
    </w:p>
    <w:p w14:paraId="0FF1E0C6" w14:textId="77777777" w:rsidR="00073A67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</w:pPr>
      <w:r>
        <w:t>Bude-li v této Prováděcí smlouvě použit jakýkoli pojem, aniž by byl Prováděcí smlouvou zvlášť definován, potom bude mít význam, který mu dává Rámcová dohoda.</w:t>
      </w:r>
    </w:p>
    <w:p w14:paraId="4D48B836" w14:textId="77777777" w:rsidR="00073A67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</w:pPr>
      <w:r>
        <w:lastRenderedPageBreak/>
        <w:t>Práva a povinnosti Smluvních stran touto Prováděcí smlouvou neupravené se řídí Rámcovou dohodou a příslušnými ustanoveními Občanského zákoníku.</w:t>
      </w:r>
    </w:p>
    <w:p w14:paraId="79CFD6DD" w14:textId="77777777" w:rsidR="00073A67" w:rsidRDefault="00073A67" w:rsidP="00677855">
      <w:pPr>
        <w:pStyle w:val="Nadpis2"/>
        <w:numPr>
          <w:ilvl w:val="0"/>
          <w:numId w:val="22"/>
        </w:numPr>
        <w:spacing w:before="120" w:after="120" w:line="0" w:lineRule="atLeast"/>
        <w:ind w:left="426"/>
      </w:pPr>
      <w:r>
        <w:t xml:space="preserve">Tato Prováděcí smlouva je vyhotovena ve dvou stejnopisech s platností originálu, z nichž Objednatel </w:t>
      </w:r>
      <w:proofErr w:type="gramStart"/>
      <w:r>
        <w:t>obdrží</w:t>
      </w:r>
      <w:proofErr w:type="gramEnd"/>
      <w:r>
        <w:t xml:space="preserve"> jeden a Poskytovatel jeden.</w:t>
      </w:r>
      <w:bookmarkEnd w:id="6"/>
    </w:p>
    <w:p w14:paraId="3572E807" w14:textId="77777777" w:rsidR="00073A67" w:rsidRDefault="00073A67" w:rsidP="00073A67">
      <w:pPr>
        <w:pStyle w:val="ListNumber-ContractCzechRadio"/>
        <w:numPr>
          <w:ilvl w:val="0"/>
          <w:numId w:val="0"/>
        </w:numPr>
        <w:spacing w:before="120" w:after="120" w:line="0" w:lineRule="atLeast"/>
        <w:rPr>
          <w:rFonts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4595"/>
      </w:tblGrid>
      <w:tr w:rsidR="00073A67" w14:paraId="1EE2DB29" w14:textId="77777777" w:rsidTr="00CF575F">
        <w:tc>
          <w:tcPr>
            <w:tcW w:w="4606" w:type="dxa"/>
            <w:shd w:val="clear" w:color="auto" w:fill="auto"/>
            <w:hideMark/>
          </w:tcPr>
          <w:p w14:paraId="143C253E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  <w:r w:rsidRPr="000F381E">
              <w:rPr>
                <w:rFonts w:cs="Arial"/>
                <w:szCs w:val="22"/>
                <w:lang w:eastAsia="cs-CZ"/>
              </w:rPr>
              <w:t>V Praze dne ______________</w:t>
            </w:r>
          </w:p>
        </w:tc>
        <w:tc>
          <w:tcPr>
            <w:tcW w:w="4606" w:type="dxa"/>
            <w:shd w:val="clear" w:color="auto" w:fill="auto"/>
          </w:tcPr>
          <w:p w14:paraId="626D870D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073A67" w14:paraId="146C7CD9" w14:textId="77777777" w:rsidTr="00CF575F">
        <w:tc>
          <w:tcPr>
            <w:tcW w:w="4606" w:type="dxa"/>
            <w:shd w:val="clear" w:color="auto" w:fill="auto"/>
          </w:tcPr>
          <w:p w14:paraId="7FFE7AC6" w14:textId="77777777" w:rsidR="00073A67" w:rsidRPr="000F381E" w:rsidRDefault="00073A67" w:rsidP="00CF575F">
            <w:pPr>
              <w:spacing w:before="120" w:after="120" w:line="0" w:lineRule="atLeast"/>
              <w:jc w:val="right"/>
              <w:rPr>
                <w:rFonts w:cs="Arial"/>
                <w:b/>
                <w:bCs/>
                <w:szCs w:val="22"/>
                <w:lang w:eastAsia="cs-CZ"/>
              </w:rPr>
            </w:pPr>
          </w:p>
          <w:p w14:paraId="60B8F7B0" w14:textId="77777777" w:rsidR="00073A67" w:rsidRPr="000F381E" w:rsidRDefault="00073A67" w:rsidP="00CF575F">
            <w:pPr>
              <w:spacing w:before="120" w:after="120" w:line="0" w:lineRule="atLeast"/>
              <w:jc w:val="right"/>
              <w:rPr>
                <w:rFonts w:cs="Arial"/>
                <w:szCs w:val="22"/>
                <w:lang w:eastAsia="cs-CZ"/>
              </w:rPr>
            </w:pPr>
            <w:r w:rsidRPr="000F381E">
              <w:rPr>
                <w:rFonts w:cs="Arial"/>
                <w:b/>
                <w:bCs/>
                <w:szCs w:val="22"/>
                <w:lang w:eastAsia="cs-CZ"/>
              </w:rPr>
              <w:t>Objednatel</w:t>
            </w:r>
            <w:r w:rsidRPr="000F381E">
              <w:rPr>
                <w:rFonts w:cs="Arial"/>
                <w:bCs/>
                <w:szCs w:val="22"/>
                <w:lang w:eastAsia="cs-CZ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02FB39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073A67" w14:paraId="7B772F30" w14:textId="77777777" w:rsidTr="00CF575F">
        <w:tc>
          <w:tcPr>
            <w:tcW w:w="4606" w:type="dxa"/>
            <w:shd w:val="clear" w:color="auto" w:fill="auto"/>
          </w:tcPr>
          <w:p w14:paraId="20FE3AB8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606" w:type="dxa"/>
            <w:shd w:val="clear" w:color="auto" w:fill="auto"/>
            <w:hideMark/>
          </w:tcPr>
          <w:p w14:paraId="541F6CED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jc w:val="both"/>
              <w:rPr>
                <w:rFonts w:cs="Arial"/>
                <w:bCs/>
                <w:szCs w:val="22"/>
                <w:lang w:eastAsia="cs-CZ"/>
              </w:rPr>
            </w:pPr>
            <w:r w:rsidRPr="000F381E">
              <w:rPr>
                <w:rFonts w:cs="Arial"/>
                <w:bCs/>
                <w:szCs w:val="22"/>
                <w:lang w:eastAsia="cs-CZ"/>
              </w:rPr>
              <w:t>__________________________________</w:t>
            </w:r>
          </w:p>
          <w:p w14:paraId="54A28FE5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rPr>
                <w:rFonts w:cs="Arial"/>
                <w:szCs w:val="22"/>
                <w:lang w:eastAsia="cs-CZ"/>
              </w:rPr>
            </w:pPr>
            <w:r w:rsidRPr="000F381E">
              <w:rPr>
                <w:rFonts w:cs="Arial"/>
                <w:b/>
                <w:bCs/>
                <w:szCs w:val="22"/>
                <w:lang w:eastAsia="cs-CZ"/>
              </w:rPr>
              <w:t>Zdravotní pojišťovna ministerstva vnitra České republiky</w:t>
            </w:r>
            <w:r w:rsidRPr="000F381E">
              <w:rPr>
                <w:rFonts w:cs="Arial"/>
                <w:bCs/>
                <w:szCs w:val="22"/>
                <w:lang w:eastAsia="cs-CZ"/>
              </w:rPr>
              <w:t>,</w:t>
            </w:r>
          </w:p>
        </w:tc>
      </w:tr>
      <w:tr w:rsidR="00073A67" w14:paraId="3AD01CC5" w14:textId="77777777" w:rsidTr="00CF575F">
        <w:tc>
          <w:tcPr>
            <w:tcW w:w="4606" w:type="dxa"/>
            <w:shd w:val="clear" w:color="auto" w:fill="auto"/>
          </w:tcPr>
          <w:p w14:paraId="265A2CF7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4606" w:type="dxa"/>
            <w:shd w:val="clear" w:color="auto" w:fill="auto"/>
            <w:hideMark/>
          </w:tcPr>
          <w:p w14:paraId="6C7BC231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rPr>
                <w:rFonts w:cs="Arial"/>
                <w:bCs/>
                <w:szCs w:val="22"/>
                <w:lang w:eastAsia="cs-CZ"/>
              </w:rPr>
            </w:pPr>
            <w:r w:rsidRPr="000F381E">
              <w:rPr>
                <w:rFonts w:cs="Arial"/>
                <w:bCs/>
                <w:szCs w:val="22"/>
                <w:lang w:eastAsia="cs-CZ"/>
              </w:rPr>
              <w:t>MUDr. David Kostka, MBA</w:t>
            </w:r>
          </w:p>
          <w:p w14:paraId="62D5B00F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rPr>
                <w:rFonts w:cs="Arial"/>
                <w:szCs w:val="22"/>
                <w:lang w:eastAsia="cs-CZ"/>
              </w:rPr>
            </w:pPr>
            <w:r w:rsidRPr="000F381E">
              <w:rPr>
                <w:rFonts w:cs="Arial"/>
                <w:bCs/>
                <w:szCs w:val="22"/>
                <w:lang w:eastAsia="cs-CZ"/>
              </w:rPr>
              <w:t>generální ředitel</w:t>
            </w:r>
          </w:p>
        </w:tc>
      </w:tr>
      <w:tr w:rsidR="00073A67" w14:paraId="7CFEAEC3" w14:textId="77777777" w:rsidTr="00CF575F">
        <w:tc>
          <w:tcPr>
            <w:tcW w:w="9212" w:type="dxa"/>
            <w:gridSpan w:val="2"/>
            <w:shd w:val="clear" w:color="auto" w:fill="auto"/>
          </w:tcPr>
          <w:p w14:paraId="5CEC8BEE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rPr>
                <w:rFonts w:cs="Arial"/>
                <w:bCs/>
                <w:szCs w:val="22"/>
                <w:lang w:eastAsia="cs-CZ"/>
              </w:rPr>
            </w:pPr>
          </w:p>
          <w:p w14:paraId="79C1058B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rPr>
                <w:rFonts w:cs="Arial"/>
                <w:bCs/>
                <w:szCs w:val="22"/>
                <w:lang w:eastAsia="cs-CZ"/>
              </w:rPr>
            </w:pPr>
          </w:p>
        </w:tc>
      </w:tr>
      <w:tr w:rsidR="00073A67" w14:paraId="3E381881" w14:textId="77777777" w:rsidTr="00CF575F">
        <w:tc>
          <w:tcPr>
            <w:tcW w:w="4606" w:type="dxa"/>
            <w:shd w:val="clear" w:color="auto" w:fill="auto"/>
            <w:hideMark/>
          </w:tcPr>
          <w:p w14:paraId="5183660D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highlight w:val="green"/>
                <w:lang w:eastAsia="cs-CZ"/>
              </w:rPr>
            </w:pPr>
            <w:r w:rsidRPr="000F381E">
              <w:rPr>
                <w:rFonts w:cs="Arial"/>
                <w:szCs w:val="22"/>
                <w:highlight w:val="yellow"/>
                <w:lang w:eastAsia="cs-CZ"/>
              </w:rPr>
              <w:t>V ______________ dne ______________</w:t>
            </w:r>
          </w:p>
        </w:tc>
        <w:tc>
          <w:tcPr>
            <w:tcW w:w="4606" w:type="dxa"/>
            <w:shd w:val="clear" w:color="auto" w:fill="auto"/>
          </w:tcPr>
          <w:p w14:paraId="38EEDA43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073A67" w14:paraId="774500B0" w14:textId="77777777" w:rsidTr="00CF575F">
        <w:tc>
          <w:tcPr>
            <w:tcW w:w="4606" w:type="dxa"/>
            <w:shd w:val="clear" w:color="auto" w:fill="auto"/>
          </w:tcPr>
          <w:p w14:paraId="0910D061" w14:textId="77777777" w:rsidR="00073A67" w:rsidRPr="000F381E" w:rsidRDefault="00073A67" w:rsidP="00CF575F">
            <w:pPr>
              <w:spacing w:before="120" w:after="120" w:line="0" w:lineRule="atLeast"/>
              <w:jc w:val="right"/>
              <w:rPr>
                <w:rFonts w:cs="Arial"/>
                <w:b/>
                <w:bCs/>
                <w:szCs w:val="22"/>
                <w:lang w:eastAsia="cs-CZ"/>
              </w:rPr>
            </w:pPr>
          </w:p>
          <w:p w14:paraId="6516BF9A" w14:textId="77777777" w:rsidR="00073A67" w:rsidRPr="000F381E" w:rsidRDefault="00073A67" w:rsidP="00CF575F">
            <w:pPr>
              <w:spacing w:before="120" w:after="120" w:line="0" w:lineRule="atLeast"/>
              <w:jc w:val="right"/>
              <w:rPr>
                <w:rFonts w:cs="Arial"/>
                <w:szCs w:val="22"/>
                <w:lang w:eastAsia="cs-CZ"/>
              </w:rPr>
            </w:pPr>
            <w:r w:rsidRPr="000F381E">
              <w:rPr>
                <w:rFonts w:cs="Arial"/>
                <w:b/>
                <w:bCs/>
                <w:szCs w:val="22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14:paraId="34C150C9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lang w:eastAsia="cs-CZ"/>
              </w:rPr>
            </w:pPr>
          </w:p>
        </w:tc>
      </w:tr>
      <w:tr w:rsidR="00073A67" w14:paraId="0C108C15" w14:textId="77777777" w:rsidTr="00CF575F">
        <w:tc>
          <w:tcPr>
            <w:tcW w:w="4606" w:type="dxa"/>
            <w:shd w:val="clear" w:color="auto" w:fill="auto"/>
          </w:tcPr>
          <w:p w14:paraId="2D385FB1" w14:textId="77777777" w:rsidR="00073A67" w:rsidRPr="000F381E" w:rsidRDefault="00073A67" w:rsidP="00CF575F">
            <w:pPr>
              <w:spacing w:before="120" w:after="120" w:line="0" w:lineRule="atLeast"/>
              <w:jc w:val="both"/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14:paraId="66BBD799" w14:textId="77777777" w:rsidR="00073A67" w:rsidRPr="000F381E" w:rsidRDefault="00073A67" w:rsidP="00CF575F">
            <w:pPr>
              <w:pBdr>
                <w:bottom w:val="single" w:sz="12" w:space="1" w:color="auto"/>
              </w:pBd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jc w:val="both"/>
              <w:rPr>
                <w:rFonts w:cs="Arial"/>
                <w:bCs/>
                <w:szCs w:val="22"/>
                <w:lang w:eastAsia="cs-CZ"/>
              </w:rPr>
            </w:pPr>
          </w:p>
          <w:p w14:paraId="4F4B01AA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jc w:val="both"/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0F381E">
              <w:rPr>
                <w:rFonts w:cs="Arial"/>
                <w:b/>
                <w:szCs w:val="22"/>
                <w:highlight w:val="yellow"/>
                <w:lang w:eastAsia="cs-CZ"/>
              </w:rPr>
              <w:t>Název společnosti</w:t>
            </w:r>
          </w:p>
          <w:p w14:paraId="0B8BC4FB" w14:textId="77777777" w:rsidR="00073A67" w:rsidRPr="000F381E" w:rsidRDefault="00073A67" w:rsidP="00CF575F">
            <w:pPr>
              <w:tabs>
                <w:tab w:val="left" w:pos="-1701"/>
                <w:tab w:val="left" w:pos="-1560"/>
                <w:tab w:val="left" w:pos="0"/>
              </w:tabs>
              <w:spacing w:before="120" w:after="120" w:line="0" w:lineRule="atLeast"/>
              <w:jc w:val="both"/>
              <w:rPr>
                <w:rFonts w:cs="Arial"/>
                <w:bCs/>
                <w:szCs w:val="22"/>
                <w:lang w:eastAsia="cs-CZ"/>
              </w:rPr>
            </w:pPr>
            <w:r w:rsidRPr="000F381E">
              <w:rPr>
                <w:rFonts w:cs="Arial"/>
                <w:bCs/>
                <w:szCs w:val="22"/>
                <w:highlight w:val="yellow"/>
                <w:lang w:eastAsia="cs-CZ"/>
              </w:rPr>
              <w:t>Statutární orgán., jednatel</w:t>
            </w:r>
          </w:p>
        </w:tc>
      </w:tr>
    </w:tbl>
    <w:p w14:paraId="4F2C2D7B" w14:textId="77777777" w:rsidR="00702ED1" w:rsidRPr="00702ED1" w:rsidRDefault="00702ED1">
      <w:pPr>
        <w:rPr>
          <w:rFonts w:cs="Arial"/>
          <w:sz w:val="20"/>
        </w:rPr>
      </w:pPr>
    </w:p>
    <w:sectPr w:rsidR="00702ED1" w:rsidRPr="00702ED1" w:rsidSect="00135C40">
      <w:headerReference w:type="default" r:id="rId8"/>
      <w:footerReference w:type="default" r:id="rId9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4050" w14:textId="77777777" w:rsidR="00D251EA" w:rsidRDefault="00D251EA" w:rsidP="00135C40">
      <w:r>
        <w:separator/>
      </w:r>
    </w:p>
  </w:endnote>
  <w:endnote w:type="continuationSeparator" w:id="0">
    <w:p w14:paraId="4E4901C4" w14:textId="77777777" w:rsidR="00D251EA" w:rsidRDefault="00D251EA" w:rsidP="0013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jc w:val="center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04"/>
      <w:gridCol w:w="947"/>
      <w:gridCol w:w="7801"/>
      <w:gridCol w:w="279"/>
    </w:tblGrid>
    <w:tr w:rsidR="00135C40" w:rsidRPr="004306AA" w14:paraId="52B3589F" w14:textId="77777777" w:rsidTr="00CE5C7C">
      <w:trPr>
        <w:trHeight w:val="227"/>
        <w:jc w:val="center"/>
      </w:trPr>
      <w:tc>
        <w:tcPr>
          <w:tcW w:w="10031" w:type="dxa"/>
          <w:gridSpan w:val="4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7A596637" w14:textId="5F88FA4C" w:rsidR="00135C40" w:rsidRPr="004306AA" w:rsidRDefault="00135C40" w:rsidP="00135C40">
          <w:pPr>
            <w:pStyle w:val="Zpat"/>
            <w:rPr>
              <w:rFonts w:cs="Arial"/>
              <w:sz w:val="6"/>
              <w:szCs w:val="6"/>
            </w:rPr>
          </w:pPr>
          <w:r>
            <w:rPr>
              <w:rFonts w:cs="Arial"/>
              <w:sz w:val="16"/>
              <w:szCs w:val="16"/>
              <w:lang w:eastAsia="cs-CZ"/>
            </w:rPr>
            <w:t xml:space="preserve">Prováděcí smlouva o poskytování služeb č. 1 </w:t>
          </w:r>
          <w:r w:rsidRPr="004306AA">
            <w:rPr>
              <w:rFonts w:cs="Arial"/>
              <w:sz w:val="16"/>
              <w:szCs w:val="16"/>
              <w:lang w:eastAsia="cs-CZ"/>
            </w:rPr>
            <w:t>– Zdravotní pojišťovna ministerstva vnitra České republiky –</w:t>
          </w:r>
          <w:r>
            <w:rPr>
              <w:rFonts w:cs="Arial"/>
              <w:bCs/>
              <w:sz w:val="16"/>
              <w:szCs w:val="16"/>
              <w:lang w:eastAsia="cs-CZ"/>
            </w:rPr>
            <w:t xml:space="preserve"> </w:t>
          </w:r>
          <w:proofErr w:type="gramStart"/>
          <w:r w:rsidRPr="00135C40">
            <w:rPr>
              <w:rFonts w:cs="Arial"/>
              <w:bCs/>
              <w:sz w:val="16"/>
              <w:szCs w:val="16"/>
              <w:highlight w:val="yellow"/>
              <w:lang w:eastAsia="cs-CZ"/>
            </w:rPr>
            <w:t>…….</w:t>
          </w:r>
          <w:proofErr w:type="gramEnd"/>
        </w:p>
      </w:tc>
    </w:tr>
    <w:tr w:rsidR="00135C40" w:rsidRPr="007A2CF8" w14:paraId="5D8DAAAF" w14:textId="77777777" w:rsidTr="00CE5C7C">
      <w:trPr>
        <w:gridAfter w:val="1"/>
        <w:wAfter w:w="171" w:type="dxa"/>
        <w:trHeight w:val="849"/>
        <w:jc w:val="center"/>
      </w:trPr>
      <w:tc>
        <w:tcPr>
          <w:tcW w:w="1004" w:type="dxa"/>
          <w:tcBorders>
            <w:top w:val="single" w:sz="4" w:space="0" w:color="000000"/>
          </w:tcBorders>
        </w:tcPr>
        <w:p w14:paraId="455BA35A" w14:textId="77777777" w:rsidR="00135C40" w:rsidRPr="007A2CF8" w:rsidRDefault="00135C40" w:rsidP="00135C40">
          <w:pPr>
            <w:tabs>
              <w:tab w:val="center" w:pos="4536"/>
              <w:tab w:val="right" w:pos="9072"/>
            </w:tabs>
            <w:rPr>
              <w:rFonts w:cs="Arial"/>
              <w:sz w:val="4"/>
              <w:szCs w:val="4"/>
            </w:rPr>
          </w:pPr>
        </w:p>
        <w:p w14:paraId="67969A7F" w14:textId="77777777" w:rsidR="00135C40" w:rsidRPr="007A2CF8" w:rsidRDefault="00135C40" w:rsidP="00135C4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7A2CF8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02F673F" wp14:editId="35988A1E">
                <wp:extent cx="491490" cy="483235"/>
                <wp:effectExtent l="0" t="0" r="3810" b="0"/>
                <wp:docPr id="244079763" name="Obrázek 244079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A2CF8">
            <w:rPr>
              <w:rFonts w:cs="Arial"/>
              <w:sz w:val="16"/>
              <w:szCs w:val="16"/>
            </w:rPr>
            <w:t>ISO 9001</w:t>
          </w:r>
        </w:p>
      </w:tc>
      <w:tc>
        <w:tcPr>
          <w:tcW w:w="947" w:type="dxa"/>
          <w:tcBorders>
            <w:top w:val="single" w:sz="4" w:space="0" w:color="000000"/>
          </w:tcBorders>
        </w:tcPr>
        <w:p w14:paraId="17B1DC12" w14:textId="77777777" w:rsidR="00135C40" w:rsidRPr="007A2CF8" w:rsidRDefault="00135C40" w:rsidP="00135C40">
          <w:pPr>
            <w:tabs>
              <w:tab w:val="center" w:pos="4536"/>
              <w:tab w:val="right" w:pos="9072"/>
            </w:tabs>
            <w:rPr>
              <w:rFonts w:cs="Arial"/>
              <w:sz w:val="4"/>
              <w:szCs w:val="4"/>
            </w:rPr>
          </w:pPr>
        </w:p>
        <w:p w14:paraId="1D546187" w14:textId="77777777" w:rsidR="00135C40" w:rsidRPr="007A2CF8" w:rsidRDefault="00135C40" w:rsidP="00135C4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7A2CF8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F77D83" wp14:editId="2C96DFEF">
                <wp:extent cx="483095" cy="483235"/>
                <wp:effectExtent l="0" t="0" r="0" b="0"/>
                <wp:docPr id="133384447" name="Obrázek 133384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367" cy="484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A2CF8">
            <w:rPr>
              <w:rFonts w:cs="Arial"/>
              <w:sz w:val="16"/>
              <w:szCs w:val="16"/>
            </w:rPr>
            <w:t xml:space="preserve"> ISO 9001</w:t>
          </w:r>
        </w:p>
      </w:tc>
      <w:tc>
        <w:tcPr>
          <w:tcW w:w="7801" w:type="dxa"/>
          <w:tcBorders>
            <w:top w:val="single" w:sz="4" w:space="0" w:color="000000"/>
          </w:tcBorders>
        </w:tcPr>
        <w:p w14:paraId="492E3A5B" w14:textId="77777777" w:rsidR="00135C40" w:rsidRPr="007A2CF8" w:rsidRDefault="00135C40" w:rsidP="00135C40">
          <w:pPr>
            <w:tabs>
              <w:tab w:val="center" w:pos="4536"/>
              <w:tab w:val="right" w:pos="9072"/>
            </w:tabs>
            <w:rPr>
              <w:rFonts w:cs="Arial"/>
              <w:sz w:val="6"/>
              <w:szCs w:val="6"/>
            </w:rPr>
          </w:pPr>
        </w:p>
        <w:p w14:paraId="0D818563" w14:textId="77777777" w:rsidR="00135C40" w:rsidRPr="00F079C4" w:rsidRDefault="00135C40" w:rsidP="00135C4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F079C4">
            <w:rPr>
              <w:rFonts w:cs="Arial"/>
              <w:sz w:val="16"/>
              <w:szCs w:val="16"/>
            </w:rPr>
            <w:t>Zdravotní pojišťovna ministerstva vnitra České republiky,</w:t>
          </w:r>
        </w:p>
        <w:p w14:paraId="3CE6CFA7" w14:textId="77777777" w:rsidR="00135C40" w:rsidRPr="00F079C4" w:rsidRDefault="00135C40" w:rsidP="00135C4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F079C4">
            <w:rPr>
              <w:rFonts w:cs="Arial"/>
              <w:sz w:val="16"/>
              <w:szCs w:val="16"/>
            </w:rPr>
            <w:t>sídlo Vinohradská 2577/178, 130 00 Praha 3, kód pojišťovny 211, IČO 47114304,</w:t>
          </w:r>
        </w:p>
        <w:p w14:paraId="7DB90558" w14:textId="77777777" w:rsidR="00135C40" w:rsidRPr="00F079C4" w:rsidRDefault="00135C40" w:rsidP="00135C4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F079C4">
            <w:rPr>
              <w:rFonts w:cs="Arial"/>
              <w:sz w:val="16"/>
              <w:szCs w:val="16"/>
            </w:rPr>
            <w:t>zapsána v obchodním rejstříku vedeném Městským soudem v Praze oddíl A, vložka 7216</w:t>
          </w:r>
        </w:p>
        <w:p w14:paraId="3E0EEC57" w14:textId="77777777" w:rsidR="00135C40" w:rsidRPr="007A2CF8" w:rsidRDefault="00135C40" w:rsidP="00135C4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F079C4">
            <w:rPr>
              <w:rFonts w:cs="Arial"/>
              <w:sz w:val="16"/>
              <w:szCs w:val="16"/>
            </w:rPr>
            <w:t>datová schránka: 9swaix3, infolinka: 222 222 255, e-mail: info@zpmvcr.cz, www.211.cz</w:t>
          </w:r>
        </w:p>
      </w:tc>
    </w:tr>
    <w:tr w:rsidR="00135C40" w:rsidRPr="004306AA" w14:paraId="260DF2FC" w14:textId="77777777" w:rsidTr="00CE5C7C">
      <w:trPr>
        <w:trHeight w:val="227"/>
        <w:jc w:val="center"/>
      </w:trPr>
      <w:tc>
        <w:tcPr>
          <w:tcW w:w="10031" w:type="dxa"/>
          <w:gridSpan w:val="4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1ED9D6B0" w14:textId="77777777" w:rsidR="00135C40" w:rsidRPr="004306AA" w:rsidRDefault="00135C40" w:rsidP="00135C40">
          <w:pPr>
            <w:pStyle w:val="Zpat"/>
            <w:rPr>
              <w:rFonts w:cs="Arial"/>
              <w:sz w:val="16"/>
              <w:szCs w:val="16"/>
              <w:lang w:eastAsia="cs-CZ"/>
            </w:rPr>
          </w:pPr>
        </w:p>
      </w:tc>
    </w:tr>
  </w:tbl>
  <w:p w14:paraId="38D53A53" w14:textId="77777777" w:rsidR="00135C40" w:rsidRDefault="00135C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9C26" w14:textId="77777777" w:rsidR="00D251EA" w:rsidRDefault="00D251EA" w:rsidP="00135C40">
      <w:r>
        <w:separator/>
      </w:r>
    </w:p>
  </w:footnote>
  <w:footnote w:type="continuationSeparator" w:id="0">
    <w:p w14:paraId="324D827A" w14:textId="77777777" w:rsidR="00D251EA" w:rsidRDefault="00D251EA" w:rsidP="0013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1A3D" w14:textId="6E3C58F6" w:rsidR="00135C40" w:rsidRDefault="00135C4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DCC22" wp14:editId="23FCE4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12000" cy="360000"/>
          <wp:effectExtent l="0" t="0" r="0" b="2540"/>
          <wp:wrapNone/>
          <wp:docPr id="891715520" name="Obrázek 89171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75C"/>
    <w:multiLevelType w:val="hybridMultilevel"/>
    <w:tmpl w:val="F8546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2F7D"/>
    <w:multiLevelType w:val="hybridMultilevel"/>
    <w:tmpl w:val="B4FEE4A0"/>
    <w:lvl w:ilvl="0" w:tplc="7CB80E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4C4A76"/>
    <w:multiLevelType w:val="hybridMultilevel"/>
    <w:tmpl w:val="C016C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CBE"/>
    <w:multiLevelType w:val="hybridMultilevel"/>
    <w:tmpl w:val="EB98CB8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44F10"/>
    <w:multiLevelType w:val="multilevel"/>
    <w:tmpl w:val="27EA90B8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</w:lvl>
    <w:lvl w:ilvl="3">
      <w:start w:val="1"/>
      <w:numFmt w:val="bullet"/>
      <w:lvlText w:val=""/>
      <w:lvlJc w:val="left"/>
      <w:pPr>
        <w:ind w:left="936" w:hanging="312"/>
      </w:pPr>
      <w:rPr>
        <w:rFonts w:ascii="Symbol" w:hAnsi="Symbo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Times New Roman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Times New Roman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Times New Roman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Times New Roman" w:hint="default"/>
        <w:color w:val="auto"/>
      </w:rPr>
    </w:lvl>
  </w:abstractNum>
  <w:abstractNum w:abstractNumId="5" w15:restartNumberingAfterBreak="0">
    <w:nsid w:val="42B43940"/>
    <w:multiLevelType w:val="hybridMultilevel"/>
    <w:tmpl w:val="27043FC0"/>
    <w:lvl w:ilvl="0" w:tplc="ABEE61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A0367A"/>
    <w:multiLevelType w:val="hybridMultilevel"/>
    <w:tmpl w:val="4FFAB8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1B3C7E"/>
    <w:multiLevelType w:val="hybridMultilevel"/>
    <w:tmpl w:val="B8CAC33E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F157DBD"/>
    <w:multiLevelType w:val="hybridMultilevel"/>
    <w:tmpl w:val="32AC450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14309E0"/>
    <w:multiLevelType w:val="hybridMultilevel"/>
    <w:tmpl w:val="B4FEE4A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9D08B6"/>
    <w:multiLevelType w:val="hybridMultilevel"/>
    <w:tmpl w:val="EF2C0A30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94964CD"/>
    <w:multiLevelType w:val="hybridMultilevel"/>
    <w:tmpl w:val="A54275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5C6506"/>
    <w:multiLevelType w:val="hybridMultilevel"/>
    <w:tmpl w:val="BF8ACCC0"/>
    <w:lvl w:ilvl="0" w:tplc="0405000F">
      <w:start w:val="1"/>
      <w:numFmt w:val="decimal"/>
      <w:lvlText w:val="%1."/>
      <w:lvlJc w:val="left"/>
      <w:pPr>
        <w:ind w:left="1451" w:hanging="360"/>
      </w:pPr>
    </w:lvl>
    <w:lvl w:ilvl="1" w:tplc="04050019" w:tentative="1">
      <w:start w:val="1"/>
      <w:numFmt w:val="lowerLetter"/>
      <w:lvlText w:val="%2."/>
      <w:lvlJc w:val="left"/>
      <w:pPr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D8978A3"/>
    <w:multiLevelType w:val="hybridMultilevel"/>
    <w:tmpl w:val="BB5C4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834C4"/>
    <w:multiLevelType w:val="multilevel"/>
    <w:tmpl w:val="AE5A40C4"/>
    <w:lvl w:ilvl="0">
      <w:start w:val="1"/>
      <w:numFmt w:val="decimal"/>
      <w:pStyle w:val="Nadpis2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A816A1E"/>
    <w:multiLevelType w:val="hybridMultilevel"/>
    <w:tmpl w:val="E0B2975A"/>
    <w:lvl w:ilvl="0" w:tplc="F02EAB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2802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66154755">
    <w:abstractNumId w:val="14"/>
  </w:num>
  <w:num w:numId="3" w16cid:durableId="1362628734">
    <w:abstractNumId w:val="14"/>
    <w:lvlOverride w:ilvl="0">
      <w:startOverride w:val="1"/>
    </w:lvlOverride>
  </w:num>
  <w:num w:numId="4" w16cid:durableId="828863198">
    <w:abstractNumId w:val="14"/>
    <w:lvlOverride w:ilvl="0">
      <w:startOverride w:val="1"/>
    </w:lvlOverride>
  </w:num>
  <w:num w:numId="5" w16cid:durableId="1740975941">
    <w:abstractNumId w:val="14"/>
    <w:lvlOverride w:ilvl="0">
      <w:startOverride w:val="1"/>
    </w:lvlOverride>
  </w:num>
  <w:num w:numId="6" w16cid:durableId="1057969121">
    <w:abstractNumId w:val="14"/>
    <w:lvlOverride w:ilvl="0">
      <w:startOverride w:val="1"/>
    </w:lvlOverride>
  </w:num>
  <w:num w:numId="7" w16cid:durableId="1673141218">
    <w:abstractNumId w:val="14"/>
    <w:lvlOverride w:ilvl="0">
      <w:startOverride w:val="1"/>
    </w:lvlOverride>
  </w:num>
  <w:num w:numId="8" w16cid:durableId="1999377955">
    <w:abstractNumId w:val="14"/>
    <w:lvlOverride w:ilvl="0">
      <w:startOverride w:val="1"/>
    </w:lvlOverride>
  </w:num>
  <w:num w:numId="9" w16cid:durableId="1386220679">
    <w:abstractNumId w:val="1"/>
  </w:num>
  <w:num w:numId="10" w16cid:durableId="533495140">
    <w:abstractNumId w:val="14"/>
  </w:num>
  <w:num w:numId="11" w16cid:durableId="1078869114">
    <w:abstractNumId w:val="6"/>
  </w:num>
  <w:num w:numId="12" w16cid:durableId="1795559701">
    <w:abstractNumId w:val="10"/>
  </w:num>
  <w:num w:numId="13" w16cid:durableId="755444258">
    <w:abstractNumId w:val="14"/>
  </w:num>
  <w:num w:numId="14" w16cid:durableId="260064961">
    <w:abstractNumId w:val="14"/>
  </w:num>
  <w:num w:numId="15" w16cid:durableId="2118019011">
    <w:abstractNumId w:val="14"/>
  </w:num>
  <w:num w:numId="16" w16cid:durableId="1352218477">
    <w:abstractNumId w:val="14"/>
  </w:num>
  <w:num w:numId="17" w16cid:durableId="774911081">
    <w:abstractNumId w:val="14"/>
  </w:num>
  <w:num w:numId="18" w16cid:durableId="1542867269">
    <w:abstractNumId w:val="3"/>
  </w:num>
  <w:num w:numId="19" w16cid:durableId="220755794">
    <w:abstractNumId w:val="14"/>
  </w:num>
  <w:num w:numId="20" w16cid:durableId="812915808">
    <w:abstractNumId w:val="14"/>
  </w:num>
  <w:num w:numId="21" w16cid:durableId="1465124516">
    <w:abstractNumId w:val="14"/>
  </w:num>
  <w:num w:numId="22" w16cid:durableId="391196760">
    <w:abstractNumId w:val="8"/>
  </w:num>
  <w:num w:numId="23" w16cid:durableId="1379092535">
    <w:abstractNumId w:val="14"/>
  </w:num>
  <w:num w:numId="24" w16cid:durableId="37972942">
    <w:abstractNumId w:val="14"/>
  </w:num>
  <w:num w:numId="25" w16cid:durableId="567963481">
    <w:abstractNumId w:val="14"/>
  </w:num>
  <w:num w:numId="26" w16cid:durableId="2081711198">
    <w:abstractNumId w:val="14"/>
  </w:num>
  <w:num w:numId="27" w16cid:durableId="1337728518">
    <w:abstractNumId w:val="14"/>
  </w:num>
  <w:num w:numId="28" w16cid:durableId="219293304">
    <w:abstractNumId w:val="15"/>
  </w:num>
  <w:num w:numId="29" w16cid:durableId="443812528">
    <w:abstractNumId w:val="14"/>
  </w:num>
  <w:num w:numId="30" w16cid:durableId="1699236016">
    <w:abstractNumId w:val="5"/>
  </w:num>
  <w:num w:numId="31" w16cid:durableId="269435503">
    <w:abstractNumId w:val="9"/>
  </w:num>
  <w:num w:numId="32" w16cid:durableId="335306525">
    <w:abstractNumId w:val="14"/>
  </w:num>
  <w:num w:numId="33" w16cid:durableId="122426725">
    <w:abstractNumId w:val="14"/>
    <w:lvlOverride w:ilvl="0">
      <w:startOverride w:val="1"/>
    </w:lvlOverride>
  </w:num>
  <w:num w:numId="34" w16cid:durableId="805197171">
    <w:abstractNumId w:val="14"/>
  </w:num>
  <w:num w:numId="35" w16cid:durableId="710810735">
    <w:abstractNumId w:val="14"/>
  </w:num>
  <w:num w:numId="36" w16cid:durableId="1749036170">
    <w:abstractNumId w:val="14"/>
  </w:num>
  <w:num w:numId="37" w16cid:durableId="174269758">
    <w:abstractNumId w:val="13"/>
  </w:num>
  <w:num w:numId="38" w16cid:durableId="1374772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5716020">
    <w:abstractNumId w:val="0"/>
  </w:num>
  <w:num w:numId="40" w16cid:durableId="1663847221">
    <w:abstractNumId w:val="11"/>
  </w:num>
  <w:num w:numId="41" w16cid:durableId="1277982460">
    <w:abstractNumId w:val="14"/>
  </w:num>
  <w:num w:numId="42" w16cid:durableId="868178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9955236">
    <w:abstractNumId w:val="14"/>
  </w:num>
  <w:num w:numId="44" w16cid:durableId="650328948">
    <w:abstractNumId w:val="14"/>
  </w:num>
  <w:num w:numId="45" w16cid:durableId="793788778">
    <w:abstractNumId w:val="14"/>
  </w:num>
  <w:num w:numId="46" w16cid:durableId="1657148208">
    <w:abstractNumId w:val="14"/>
  </w:num>
  <w:num w:numId="47" w16cid:durableId="788009186">
    <w:abstractNumId w:val="12"/>
  </w:num>
  <w:num w:numId="48" w16cid:durableId="1669794469">
    <w:abstractNumId w:val="14"/>
  </w:num>
  <w:num w:numId="49" w16cid:durableId="1884168431">
    <w:abstractNumId w:val="2"/>
  </w:num>
  <w:num w:numId="50" w16cid:durableId="17630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3A"/>
    <w:rsid w:val="00011AA8"/>
    <w:rsid w:val="00024B12"/>
    <w:rsid w:val="00042B91"/>
    <w:rsid w:val="00052DFA"/>
    <w:rsid w:val="00073A67"/>
    <w:rsid w:val="00080BF5"/>
    <w:rsid w:val="000F1657"/>
    <w:rsid w:val="00104068"/>
    <w:rsid w:val="00135C40"/>
    <w:rsid w:val="00144911"/>
    <w:rsid w:val="0018351A"/>
    <w:rsid w:val="00197BA4"/>
    <w:rsid w:val="001D22C5"/>
    <w:rsid w:val="00211861"/>
    <w:rsid w:val="00225124"/>
    <w:rsid w:val="002A209E"/>
    <w:rsid w:val="002D162F"/>
    <w:rsid w:val="002E13C5"/>
    <w:rsid w:val="002F5F8C"/>
    <w:rsid w:val="00371B20"/>
    <w:rsid w:val="00372B18"/>
    <w:rsid w:val="00391665"/>
    <w:rsid w:val="004069DC"/>
    <w:rsid w:val="0047047C"/>
    <w:rsid w:val="004C6A4D"/>
    <w:rsid w:val="004F3C2F"/>
    <w:rsid w:val="00523B84"/>
    <w:rsid w:val="0055650F"/>
    <w:rsid w:val="0058267D"/>
    <w:rsid w:val="005D3D17"/>
    <w:rsid w:val="005E7291"/>
    <w:rsid w:val="005F3BEA"/>
    <w:rsid w:val="00643101"/>
    <w:rsid w:val="006667E7"/>
    <w:rsid w:val="00677855"/>
    <w:rsid w:val="006E7DF0"/>
    <w:rsid w:val="00702ED1"/>
    <w:rsid w:val="00706F39"/>
    <w:rsid w:val="007763C4"/>
    <w:rsid w:val="007B255D"/>
    <w:rsid w:val="008A35EB"/>
    <w:rsid w:val="008B778A"/>
    <w:rsid w:val="008E6468"/>
    <w:rsid w:val="008F71FB"/>
    <w:rsid w:val="009009D0"/>
    <w:rsid w:val="009D0C1B"/>
    <w:rsid w:val="009E7D39"/>
    <w:rsid w:val="00A23086"/>
    <w:rsid w:val="00A5472A"/>
    <w:rsid w:val="00A75575"/>
    <w:rsid w:val="00A83BF2"/>
    <w:rsid w:val="00A95940"/>
    <w:rsid w:val="00A9605D"/>
    <w:rsid w:val="00AC74AA"/>
    <w:rsid w:val="00AF4C96"/>
    <w:rsid w:val="00B56665"/>
    <w:rsid w:val="00B661FA"/>
    <w:rsid w:val="00BD4453"/>
    <w:rsid w:val="00BE131F"/>
    <w:rsid w:val="00C039F7"/>
    <w:rsid w:val="00C62080"/>
    <w:rsid w:val="00CD1E0A"/>
    <w:rsid w:val="00CE564D"/>
    <w:rsid w:val="00D251EA"/>
    <w:rsid w:val="00D86E43"/>
    <w:rsid w:val="00D8763A"/>
    <w:rsid w:val="00DC1C51"/>
    <w:rsid w:val="00E15071"/>
    <w:rsid w:val="00E16B3A"/>
    <w:rsid w:val="00E23E5D"/>
    <w:rsid w:val="00E411B1"/>
    <w:rsid w:val="00EF13CD"/>
    <w:rsid w:val="00F80D42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06D"/>
  <w15:chartTrackingRefBased/>
  <w15:docId w15:val="{3BC52295-4B2B-48A1-B0C0-43B5F032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5. Ostatní text"/>
    <w:qFormat/>
    <w:rsid w:val="00073A67"/>
    <w:pPr>
      <w:suppressAutoHyphens/>
      <w:spacing w:after="0" w:line="240" w:lineRule="auto"/>
    </w:pPr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paragraph" w:styleId="Nadpis1">
    <w:name w:val="heading 1"/>
    <w:aliases w:val="1. Název článku"/>
    <w:basedOn w:val="Obsah6"/>
    <w:next w:val="Nadpis2"/>
    <w:link w:val="Nadpis1Char"/>
    <w:qFormat/>
    <w:rsid w:val="00073A67"/>
    <w:pPr>
      <w:spacing w:after="120" w:line="264" w:lineRule="auto"/>
      <w:ind w:left="221" w:hanging="221"/>
      <w:jc w:val="center"/>
      <w:outlineLvl w:val="0"/>
    </w:pPr>
    <w:rPr>
      <w:rFonts w:eastAsia="Arial" w:cs="Arial"/>
      <w:b/>
      <w:w w:val="111"/>
      <w:sz w:val="24"/>
      <w:szCs w:val="24"/>
      <w:lang w:eastAsia="zh-CN"/>
    </w:rPr>
  </w:style>
  <w:style w:type="paragraph" w:styleId="Nadpis2">
    <w:name w:val="heading 2"/>
    <w:aliases w:val="2. Body článků"/>
    <w:basedOn w:val="Normln"/>
    <w:link w:val="Nadpis2Char"/>
    <w:qFormat/>
    <w:rsid w:val="00073A67"/>
    <w:pPr>
      <w:numPr>
        <w:numId w:val="2"/>
      </w:numPr>
      <w:tabs>
        <w:tab w:val="left" w:pos="426"/>
      </w:tabs>
      <w:spacing w:line="264" w:lineRule="auto"/>
      <w:jc w:val="both"/>
      <w:outlineLvl w:val="1"/>
    </w:pPr>
    <w:rPr>
      <w:rFonts w:cs="Arial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. Název článku Char"/>
    <w:basedOn w:val="Standardnpsmoodstavce"/>
    <w:link w:val="Nadpis1"/>
    <w:rsid w:val="00073A67"/>
    <w:rPr>
      <w:rFonts w:ascii="Arial" w:eastAsia="Arial" w:hAnsi="Arial" w:cs="Arial"/>
      <w:b/>
      <w:w w:val="111"/>
      <w:kern w:val="0"/>
      <w:sz w:val="24"/>
      <w:szCs w:val="24"/>
      <w:lang w:eastAsia="zh-CN"/>
      <w14:ligatures w14:val="none"/>
    </w:rPr>
  </w:style>
  <w:style w:type="character" w:customStyle="1" w:styleId="Nadpis2Char">
    <w:name w:val="Nadpis 2 Char"/>
    <w:aliases w:val="2. Body článků Char"/>
    <w:basedOn w:val="Standardnpsmoodstavce"/>
    <w:link w:val="Nadpis2"/>
    <w:rsid w:val="00073A67"/>
    <w:rPr>
      <w:rFonts w:ascii="Arial" w:eastAsia="Times New Roman" w:hAnsi="Arial" w:cs="Arial"/>
      <w:kern w:val="0"/>
      <w:szCs w:val="24"/>
      <w:lang w:eastAsia="zh-CN"/>
      <w14:ligatures w14:val="none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073A67"/>
    <w:pPr>
      <w:numPr>
        <w:ilvl w:val="1"/>
        <w:numId w:val="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eastAsia="Calibri" w:cs="Times New Roman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073A67"/>
    <w:pPr>
      <w:numPr>
        <w:ilvl w:val="2"/>
        <w:numId w:val="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eastAsia="Calibri" w:cs="Times New Roman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073A67"/>
    <w:pPr>
      <w:keepNext/>
      <w:keepLines/>
      <w:numPr>
        <w:numId w:val="1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before="250" w:after="250" w:line="250" w:lineRule="exact"/>
      <w:jc w:val="center"/>
      <w:outlineLvl w:val="0"/>
    </w:pPr>
    <w:rPr>
      <w:rFonts w:cs="Times New Roman"/>
      <w:b/>
      <w:color w:val="000F37"/>
      <w:sz w:val="20"/>
      <w:szCs w:val="26"/>
      <w:lang w:eastAsia="en-US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073A67"/>
    <w:pPr>
      <w:spacing w:after="100"/>
      <w:ind w:left="1100"/>
    </w:pPr>
  </w:style>
  <w:style w:type="table" w:styleId="Mkatabulky">
    <w:name w:val="Table Grid"/>
    <w:basedOn w:val="Normlntabulka"/>
    <w:uiPriority w:val="39"/>
    <w:rsid w:val="00A9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594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95940"/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24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B1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B12"/>
    <w:rPr>
      <w:rFonts w:ascii="Arial" w:eastAsia="Times New Roman" w:hAnsi="Arial" w:cs="Courier New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B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B12"/>
    <w:rPr>
      <w:rFonts w:ascii="Arial" w:eastAsia="Times New Roman" w:hAnsi="Arial" w:cs="Courier New"/>
      <w:b/>
      <w:bCs/>
      <w:kern w:val="0"/>
      <w:sz w:val="2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AF4C96"/>
    <w:pPr>
      <w:spacing w:after="0" w:line="240" w:lineRule="auto"/>
    </w:pPr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paragraph" w:customStyle="1" w:styleId="Default">
    <w:name w:val="Default"/>
    <w:rsid w:val="00776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5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C40"/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unhideWhenUsed/>
    <w:rsid w:val="00135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5C40"/>
    <w:rPr>
      <w:rFonts w:ascii="Arial" w:eastAsia="Times New Roman" w:hAnsi="Arial" w:cs="Courier New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758A-D10B-4C89-95CD-E0F7CE6B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Básti Pálová</dc:creator>
  <cp:keywords/>
  <dc:description/>
  <cp:lastModifiedBy>Ildikó Básti Pálová</cp:lastModifiedBy>
  <cp:revision>6</cp:revision>
  <dcterms:created xsi:type="dcterms:W3CDTF">2024-10-29T07:31:00Z</dcterms:created>
  <dcterms:modified xsi:type="dcterms:W3CDTF">2024-11-12T09:25:00Z</dcterms:modified>
</cp:coreProperties>
</file>