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E9E8B22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1070BF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983CF2">
        <w:trPr>
          <w:trHeight w:val="732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2549C605" w:rsidR="00F534C4" w:rsidRPr="004200EB" w:rsidRDefault="001070BF" w:rsidP="00EF53A0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r w:rsidRPr="001070BF">
              <w:rPr>
                <w:rFonts w:asciiTheme="minorHAnsi" w:hAnsiTheme="minorHAnsi" w:cstheme="minorHAnsi"/>
                <w:b/>
                <w:bCs/>
                <w:iCs/>
              </w:rPr>
              <w:t>Laboratoře sekce výkonových laserů – změna systému chlazení a související stavební práce</w:t>
            </w:r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070BF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44FB6"/>
    <w:rsid w:val="004511C4"/>
    <w:rsid w:val="0046350D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203F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83CF2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02D4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34</cp:revision>
  <cp:lastPrinted>2015-01-15T13:02:00Z</cp:lastPrinted>
  <dcterms:created xsi:type="dcterms:W3CDTF">2019-01-14T13:55:00Z</dcterms:created>
  <dcterms:modified xsi:type="dcterms:W3CDTF">2024-07-16T11:40:00Z</dcterms:modified>
</cp:coreProperties>
</file>