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271F" w14:textId="1FB7234E" w:rsidR="00FB39F1" w:rsidRPr="009D1326" w:rsidRDefault="00FB39F1" w:rsidP="009D1326">
      <w:pPr>
        <w:pStyle w:val="Nadpis1"/>
        <w:pageBreakBefore w:val="0"/>
        <w:numPr>
          <w:ilvl w:val="0"/>
          <w:numId w:val="0"/>
        </w:numPr>
        <w:rPr>
          <w:sz w:val="22"/>
          <w:szCs w:val="22"/>
          <w:lang w:val="cs-CZ"/>
        </w:rPr>
      </w:pPr>
      <w:r w:rsidRPr="00161D1B">
        <w:rPr>
          <w:sz w:val="22"/>
          <w:szCs w:val="22"/>
          <w:lang w:val="cs-CZ"/>
        </w:rPr>
        <w:t>PŘÍLOHA</w:t>
      </w:r>
      <w:r w:rsidR="00060002" w:rsidRPr="00161D1B">
        <w:rPr>
          <w:sz w:val="22"/>
          <w:szCs w:val="22"/>
          <w:lang w:val="cs-CZ"/>
        </w:rPr>
        <w:t xml:space="preserve"> č. 1</w:t>
      </w:r>
    </w:p>
    <w:p w14:paraId="4D916AB0" w14:textId="61C38B11" w:rsidR="00FB39F1" w:rsidRPr="009D1326" w:rsidRDefault="00B21ED2" w:rsidP="00060002">
      <w:pPr>
        <w:pStyle w:val="Odstavecseseznamem"/>
        <w:numPr>
          <w:ilvl w:val="0"/>
          <w:numId w:val="7"/>
        </w:numPr>
        <w:rPr>
          <w:rFonts w:ascii="Book Antiqua" w:hAnsi="Book Antiqua"/>
          <w:b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Projektový manažer (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dále jen „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PM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“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 xml:space="preserve">) </w:t>
      </w:r>
    </w:p>
    <w:p w14:paraId="1224CEEE" w14:textId="77777777" w:rsidR="00B21ED2" w:rsidRPr="009D1326" w:rsidRDefault="00B21ED2" w:rsidP="00B21ED2">
      <w:pPr>
        <w:pStyle w:val="Odstavecseseznamem"/>
        <w:rPr>
          <w:rFonts w:ascii="Book Antiqua" w:hAnsi="Book Antiqua"/>
          <w:b/>
          <w:color w:val="000000" w:themeColor="text1"/>
          <w:szCs w:val="22"/>
          <w:lang w:val="cs-CZ"/>
        </w:rPr>
      </w:pPr>
    </w:p>
    <w:p w14:paraId="19B1CBB3" w14:textId="0010CDE3" w:rsidR="00D55484" w:rsidRPr="009D1326" w:rsidRDefault="00D55484" w:rsidP="00D55484">
      <w:p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PM bude v rámci výkonu PM komunikovat s</w:t>
      </w:r>
      <w:r w:rsidR="009D1326">
        <w:rPr>
          <w:rFonts w:ascii="Book Antiqua" w:hAnsi="Book Antiqua"/>
          <w:color w:val="000000" w:themeColor="text1"/>
          <w:szCs w:val="22"/>
          <w:lang w:val="cs-CZ"/>
        </w:rPr>
        <w:t>e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  zadavatelem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 připravovat harmonogram stavby a zajišťovat jeho řádné a včasné plnění, aby nedocházelo ke zpoždění termínu dokončení zakázky. PM bude zároveň, spolupracovat na změnových listech, projektové dokumentaci a kontrolovat dodržování rozpočtu. Nedílnou součástí bude komunikace s  autorským dozorem a dodavatelem stavby. PM povede administrativu stavby.</w:t>
      </w:r>
    </w:p>
    <w:p w14:paraId="54E04DE5" w14:textId="5A32CE13" w:rsidR="00D55484" w:rsidRPr="009D1326" w:rsidRDefault="00D55484" w:rsidP="00D55484">
      <w:pPr>
        <w:rPr>
          <w:rFonts w:ascii="Book Antiqua" w:hAnsi="Book Antiqua"/>
          <w:bCs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PM bude plnit pokyny </w:t>
      </w:r>
      <w:r w:rsidR="00F76ABC"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a zejména plnit následující činnosti: </w:t>
      </w:r>
    </w:p>
    <w:p w14:paraId="3C19290D" w14:textId="77777777" w:rsidR="00D55484" w:rsidRPr="009D1326" w:rsidRDefault="00D55484" w:rsidP="00D55484">
      <w:pPr>
        <w:jc w:val="both"/>
        <w:rPr>
          <w:rFonts w:ascii="Book Antiqua" w:hAnsi="Book Antiqua"/>
          <w:color w:val="000000" w:themeColor="text1"/>
          <w:szCs w:val="22"/>
          <w:lang w:val="cs-CZ"/>
        </w:rPr>
      </w:pPr>
    </w:p>
    <w:p w14:paraId="2C48AFEA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seznámení se s obsahem smluvní dokumentace, s obsahem a podmínkami všech povolení a vyjádření příslušných správních orgánů a organizací, jakož i s doklady, na které tyto dokumenty odkazují a s obsahem všech dodavatelských a dalších souvisejících smluv,</w:t>
      </w:r>
    </w:p>
    <w:p w14:paraId="7B9175D4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aktivní řízení kontrolních dnů stavby a „design meetings“ včetně pořizování zápisů,</w:t>
      </w:r>
    </w:p>
    <w:p w14:paraId="16622D58" w14:textId="6773073D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spolupráce s generálním projektantem (GP) a se zhotovitel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,při optimalizaci projektových podkladů (zejména realizační dokumentace - DPS),</w:t>
      </w:r>
    </w:p>
    <w:p w14:paraId="4F724F07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průběžná kontrola a evidence aktuálního přehledu platné DPS,</w:t>
      </w:r>
    </w:p>
    <w:p w14:paraId="6F4E9303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termínů výstavby a uzlových bodů, kontrola dodržování HMG Projektu,</w:t>
      </w:r>
    </w:p>
    <w:p w14:paraId="346AC144" w14:textId="152B0BD0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dohled nad zhotovitel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) při vypracování podrobných celkových i dílčích harmonogramů pro jednotlivé části stavby a dodávky (upřesnění specifikace, vzorkování, výroba, montáž, napojení na inženýrské sítě, období uvádění do provozu, datum dokončení atd.),</w:t>
      </w:r>
    </w:p>
    <w:p w14:paraId="7E852C2F" w14:textId="17CF39A3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pravidelná kontrola dodržování vyhodnocených harmonogramů, předkládaných zhotovitel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 z hlediska dodržení cílů Projektu vč. jejich vyhodnocení i ve vazbě na smluvní termíny (Uzlové body) a příprava podkladů pro uplatnění případných smluvních sankcí (dle SOD),</w:t>
      </w:r>
    </w:p>
    <w:p w14:paraId="55FD0926" w14:textId="03E2D2B3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příprava a zajištění organizace předání staveniště vč. přípravy protokolu o předání staveniště vč. shromáždění dokumentů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potřebných pro předání staveniště,</w:t>
      </w:r>
    </w:p>
    <w:p w14:paraId="6754DD3B" w14:textId="2FB9BE26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aktivní účast při všech kontrolních prohlídkách příslušného stavebního úřadu, při kontrolách ze strany ostatních orgánů státní správy a dotčených organizací, při všech správních řízení (změna stavby před dokončením, kolaudace, atp.) a to bez ohledu, kdo takovouto prohlídku anebo kontrolu vyvolal,</w:t>
      </w:r>
    </w:p>
    <w:p w14:paraId="3DB805E3" w14:textId="03C07639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dohled nad předložením atestů a certifikátů požadovaných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zadavatelem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nad rámec kolaudačního řízení,</w:t>
      </w:r>
    </w:p>
    <w:p w14:paraId="57C6AD0E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aktivní účast na procesu vzorkování materiálů a etalonů, vydávání doporučení pro schvalování,</w:t>
      </w:r>
    </w:p>
    <w:p w14:paraId="7BE9D8E2" w14:textId="2DFD5471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kontrola úplnosti a obsahu požadovaných dokumentů pro kolaudační řízení připravených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zhotovitelem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,, a to zejména dokumentace skutečného provedení stavby, stavební deník, protokoly o zkouškách osvědčujících vlastnosti stavby nebo její části, atesty použitých materiálů (vč. prohlášení o shodě, certifikátů výrobků dle zák. 22/1987 Sb. v platném znění), prohlášení správců inženýrských sítí, že jimi spravované sítě v obvodu staveniště jsou nenarušené činností zhotovitelů a jsou provozuschopné apod.,</w:t>
      </w:r>
    </w:p>
    <w:p w14:paraId="55325E65" w14:textId="2E6A83C6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organizace předání dokončeného Projektu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.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. Příprava a kontrola zápisu o předání a převzetí díla,</w:t>
      </w:r>
    </w:p>
    <w:p w14:paraId="53FB722D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Zajišťuje administrativu celého průběhu zakázky</w:t>
      </w:r>
    </w:p>
    <w:p w14:paraId="70581AE9" w14:textId="628486DB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Prezentuje průběh stavby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zadavateli</w:t>
      </w:r>
    </w:p>
    <w:p w14:paraId="7F0D526E" w14:textId="77777777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Řídí činnosti CM, TDI a KBOZP.</w:t>
      </w:r>
    </w:p>
    <w:p w14:paraId="3D20347B" w14:textId="11366F81" w:rsidR="00D55484" w:rsidRPr="009D1326" w:rsidRDefault="00D55484" w:rsidP="00D55484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Spolupráce na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zadávacích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řízeních</w:t>
      </w:r>
    </w:p>
    <w:p w14:paraId="751FC3AE" w14:textId="4B4820D4" w:rsidR="00FB39F1" w:rsidRPr="009D1326" w:rsidRDefault="000A4E39" w:rsidP="009D1326">
      <w:pPr>
        <w:pStyle w:val="Odstavecseseznamem"/>
        <w:numPr>
          <w:ilvl w:val="0"/>
          <w:numId w:val="15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</w:rPr>
        <w:t>Řešení reklamačních vad po dobu záruky 60měsíců</w:t>
      </w:r>
    </w:p>
    <w:p w14:paraId="5EA2D1E9" w14:textId="77777777" w:rsidR="00FB39F1" w:rsidRPr="009D1326" w:rsidRDefault="00FB39F1" w:rsidP="00060002">
      <w:pPr>
        <w:jc w:val="both"/>
        <w:rPr>
          <w:rFonts w:ascii="Book Antiqua" w:hAnsi="Book Antiqua"/>
          <w:b/>
          <w:color w:val="000000" w:themeColor="text1"/>
          <w:szCs w:val="22"/>
          <w:lang w:val="cs-CZ"/>
        </w:rPr>
      </w:pPr>
    </w:p>
    <w:p w14:paraId="21E3B534" w14:textId="0B8F037B" w:rsidR="009D77BC" w:rsidRPr="009D1326" w:rsidRDefault="00B21ED2" w:rsidP="00D55484">
      <w:pPr>
        <w:pStyle w:val="Odstavecseseznamem"/>
        <w:numPr>
          <w:ilvl w:val="0"/>
          <w:numId w:val="7"/>
        </w:numPr>
        <w:rPr>
          <w:rFonts w:ascii="Book Antiqua" w:hAnsi="Book Antiqua"/>
          <w:b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Cost management (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dále jen „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CM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“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)</w:t>
      </w:r>
      <w:r w:rsidR="00D55484" w:rsidRPr="009D1326">
        <w:rPr>
          <w:rFonts w:ascii="Book Antiqua" w:hAnsi="Book Antiqua"/>
          <w:b/>
          <w:color w:val="000000" w:themeColor="text1"/>
          <w:szCs w:val="22"/>
          <w:lang w:val="cs-CZ"/>
        </w:rPr>
        <w:tab/>
      </w:r>
    </w:p>
    <w:p w14:paraId="1DF02E17" w14:textId="77777777" w:rsidR="00060002" w:rsidRPr="009D1326" w:rsidRDefault="00060002" w:rsidP="00060002">
      <w:pPr>
        <w:rPr>
          <w:rFonts w:ascii="Book Antiqua" w:hAnsi="Book Antiqua"/>
          <w:b/>
          <w:color w:val="000000" w:themeColor="text1"/>
          <w:szCs w:val="22"/>
          <w:lang w:val="cs-CZ"/>
        </w:rPr>
      </w:pPr>
    </w:p>
    <w:p w14:paraId="3C349E92" w14:textId="12FCBF5F" w:rsidR="00D55484" w:rsidRDefault="00D55484" w:rsidP="009D1326">
      <w:p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CM bude v oblasti řízení nákladů Projektu plnit pokyny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a zejména plnit následující činnosti: </w:t>
      </w:r>
    </w:p>
    <w:p w14:paraId="05464D72" w14:textId="77777777" w:rsidR="009D1326" w:rsidRPr="009D1326" w:rsidRDefault="009D1326" w:rsidP="009D1326">
      <w:pPr>
        <w:rPr>
          <w:rFonts w:ascii="Book Antiqua" w:hAnsi="Book Antiqua"/>
          <w:color w:val="000000" w:themeColor="text1"/>
          <w:szCs w:val="22"/>
          <w:lang w:val="cs-CZ"/>
        </w:rPr>
      </w:pPr>
    </w:p>
    <w:p w14:paraId="49B41125" w14:textId="66171668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kontrola úplnosti a věcné správnosti dokumentace pro výběr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zhotovitele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. Kontrola a připomínky k hrubopisu DVD do 15 dnů od předání. Kontrola zapracování připomínek do čistopisu DVD - do 10 dnů od předání čistopisu DVD,</w:t>
      </w:r>
    </w:p>
    <w:p w14:paraId="1C028492" w14:textId="1EC382D4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Seznámení se se smluvní dokumentací pro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zhotovitele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- ověření souladu grafické a textové části zpracované projekčním týmem, s tabulkovými kalkulačními podklady (výkazem výměr),</w:t>
      </w:r>
    </w:p>
    <w:p w14:paraId="27A49D7F" w14:textId="11AC10C6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spolupráce na tvorbě struktury podkladů pro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zadávací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řízení </w:t>
      </w:r>
    </w:p>
    <w:p w14:paraId="7A4D01E6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optimalizace nákladů prostřednictvím hledání nejvýhodnějšího technického řešení (Value Engineering), rozumí se tím oceňování navržených technických variant projekčního řešení v rámci připomínek k dokumentaci pro provedení stavby před zadáním anebo i v průběhu stavebních prací,</w:t>
      </w:r>
    </w:p>
    <w:p w14:paraId="23034DBB" w14:textId="3112E544" w:rsidR="00D55484" w:rsidRPr="009D1326" w:rsidRDefault="00D55484" w:rsidP="00592D46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návrh na doplnění, optimalizace před</w:t>
      </w:r>
      <w:r w:rsidR="00592D46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i v průběhu realizace Projektu,</w:t>
      </w:r>
    </w:p>
    <w:p w14:paraId="50C9BED9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pomoc při vyhodnocení cenových nabídek z hlediska nabídkové ceny,</w:t>
      </w:r>
    </w:p>
    <w:p w14:paraId="66AB6259" w14:textId="3CF233C0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průběžné poradenství v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 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nákladech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projektu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</w:t>
      </w:r>
    </w:p>
    <w:p w14:paraId="57E8D02A" w14:textId="32B8229E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kontrola výsledků projektování a změn navrhovaných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zhotovitelem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s ohledem na hospodárnost jednotlivých řešení,</w:t>
      </w:r>
    </w:p>
    <w:p w14:paraId="1986C150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průběžný dohled nad dodržením rozpočtového rámce Projektu a spolupráce při prosazení nezbytných opatření k dodržení rozpočtového rámce, rozumí se tím zejména kontrola nákladů nad ucelenými díly PD,</w:t>
      </w:r>
    </w:p>
    <w:p w14:paraId="25C89EAF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měsíční vyhodnocení prostavěnosti, kontrola a schválení částek k fakturaci podle podkladů o rozsahu provedených prací od technického dozoru,</w:t>
      </w:r>
    </w:p>
    <w:p w14:paraId="1C7C5E24" w14:textId="72AEB96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identifikace rizikových položek rozpočtu a možností ke snížení nákladů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před zahájením zadávacího řízení na zhotovitele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</w:t>
      </w:r>
    </w:p>
    <w:p w14:paraId="6A345841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vedení agendy změn,</w:t>
      </w:r>
    </w:p>
    <w:p w14:paraId="752A92E5" w14:textId="5D14E761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aktivní posuzování změn navrhovaných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zhotovitelem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 které mají dopady do ceny (méně — vícepráce) z hlediska jejich oprávněnosti a relevance z pohledu souladu s podmínkami smlouvy o dílo,</w:t>
      </w:r>
    </w:p>
    <w:p w14:paraId="7D5260DC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aktivní vyhledávání možných úspor (včetně méněprací),</w:t>
      </w:r>
    </w:p>
    <w:p w14:paraId="5C5AD9EC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oceňování změn (méně — vícepráce),</w:t>
      </w:r>
    </w:p>
    <w:p w14:paraId="24671245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vyjadřování se ke všem dodatkům a změnám, především z hlediska výše ceny a dodržení termínů), kontrola správnosti a úplnosti,</w:t>
      </w:r>
    </w:p>
    <w:p w14:paraId="2134AB3F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odsouhlasování měsíčních plateb a součinnost při konečném vyúčtování stavby po jejím dokončení,</w:t>
      </w:r>
    </w:p>
    <w:p w14:paraId="7C9A62FB" w14:textId="05FD683B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průběžná příprava podkladů pro závěrečné vyúčtování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stavby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</w:t>
      </w:r>
    </w:p>
    <w:p w14:paraId="49D421E2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vypracování měsíčních přehledů: náklady a propočet (prostavěnost, změny a vícepráce) ve standardním software, pokud nebude dohodnuto jinak,</w:t>
      </w:r>
    </w:p>
    <w:p w14:paraId="6A24A7C0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spolupráce s příkazcem při analýze, vyjasnění a formulaci zadání, resp. změn zadání,</w:t>
      </w:r>
    </w:p>
    <w:p w14:paraId="406CE89F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závěrečné vyhodnocení a vyúčtování Projektu, zejména: </w:t>
      </w:r>
    </w:p>
    <w:p w14:paraId="2D24ED83" w14:textId="77777777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vypracování zprávy a vyhodnocení průběhu realizace z hlediska nákladů stavby,</w:t>
      </w:r>
    </w:p>
    <w:p w14:paraId="7CB87495" w14:textId="0745FA6C" w:rsidR="00D55484" w:rsidRPr="009D1326" w:rsidRDefault="00D55484" w:rsidP="00D55484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pomoc při projednání závěrečného vyúčtování díla s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e zhotovitelem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</w:t>
      </w:r>
    </w:p>
    <w:p w14:paraId="18A04604" w14:textId="22A4B8C2" w:rsidR="00161D1B" w:rsidRPr="009D1326" w:rsidRDefault="00D55484" w:rsidP="001B636E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zajištění ve spolupráci s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zad</w:t>
      </w:r>
      <w:r w:rsidR="00592D46" w:rsidRPr="009D1326">
        <w:rPr>
          <w:rFonts w:ascii="Book Antiqua" w:hAnsi="Book Antiqua"/>
          <w:color w:val="000000" w:themeColor="text1"/>
          <w:szCs w:val="22"/>
          <w:lang w:val="cs-CZ"/>
        </w:rPr>
        <w:t>a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vatelem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podklady pro účetní zatřídění dokončeného Projektu — pokud to bude vyžadováno. </w:t>
      </w:r>
    </w:p>
    <w:p w14:paraId="46DA1A54" w14:textId="2026ED02" w:rsidR="000A4E39" w:rsidRPr="009D1326" w:rsidRDefault="000A4E39" w:rsidP="001B636E">
      <w:pPr>
        <w:pStyle w:val="Odstavecseseznamem"/>
        <w:numPr>
          <w:ilvl w:val="0"/>
          <w:numId w:val="12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</w:rPr>
        <w:t>Řešení reklamačních vad po dobu záruky 60měsíců</w:t>
      </w:r>
    </w:p>
    <w:p w14:paraId="4B6490D9" w14:textId="77777777" w:rsidR="001B636E" w:rsidRPr="009D1326" w:rsidRDefault="001B636E" w:rsidP="001B636E">
      <w:pPr>
        <w:pStyle w:val="Odstavecseseznamem"/>
        <w:ind w:left="360"/>
        <w:rPr>
          <w:rFonts w:ascii="Book Antiqua" w:hAnsi="Book Antiqua"/>
          <w:color w:val="000000" w:themeColor="text1"/>
          <w:szCs w:val="22"/>
          <w:lang w:val="cs-CZ"/>
        </w:rPr>
      </w:pPr>
    </w:p>
    <w:p w14:paraId="475CA667" w14:textId="77777777" w:rsidR="008C1C51" w:rsidRPr="009D1326" w:rsidRDefault="008C1C51" w:rsidP="00060002">
      <w:pPr>
        <w:rPr>
          <w:rFonts w:ascii="Book Antiqua" w:hAnsi="Book Antiqua"/>
          <w:b/>
          <w:color w:val="000000" w:themeColor="text1"/>
          <w:szCs w:val="22"/>
          <w:lang w:val="cs-CZ"/>
        </w:rPr>
      </w:pPr>
    </w:p>
    <w:p w14:paraId="57982730" w14:textId="7DA69B44" w:rsidR="009D77BC" w:rsidRPr="009D1326" w:rsidRDefault="00FB39F1" w:rsidP="001B636E">
      <w:pPr>
        <w:pStyle w:val="Odstavecseseznamem"/>
        <w:numPr>
          <w:ilvl w:val="0"/>
          <w:numId w:val="7"/>
        </w:numPr>
        <w:rPr>
          <w:rFonts w:ascii="Book Antiqua" w:hAnsi="Book Antiqua"/>
          <w:b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lastRenderedPageBreak/>
        <w:t>Technický dozor investora (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dále jen „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TDI</w:t>
      </w:r>
      <w:r w:rsidR="00F76ABC" w:rsidRPr="009D1326">
        <w:rPr>
          <w:rFonts w:ascii="Book Antiqua" w:hAnsi="Book Antiqua"/>
          <w:b/>
          <w:color w:val="000000" w:themeColor="text1"/>
          <w:szCs w:val="22"/>
          <w:lang w:val="cs-CZ"/>
        </w:rPr>
        <w:t>“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)</w:t>
      </w:r>
    </w:p>
    <w:p w14:paraId="05F399DB" w14:textId="77777777" w:rsidR="00FB39F1" w:rsidRPr="009D1326" w:rsidRDefault="00FB39F1" w:rsidP="00060002">
      <w:pPr>
        <w:jc w:val="both"/>
        <w:rPr>
          <w:rFonts w:ascii="Book Antiqua" w:hAnsi="Book Antiqua"/>
          <w:color w:val="000000" w:themeColor="text1"/>
          <w:szCs w:val="22"/>
          <w:lang w:val="cs-CZ"/>
        </w:rPr>
      </w:pPr>
    </w:p>
    <w:p w14:paraId="6D622D5D" w14:textId="473523DE" w:rsidR="00FB39F1" w:rsidRPr="009D1326" w:rsidRDefault="00FB39F1" w:rsidP="00060002">
      <w:p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TDI bude aktivně monitorovat a kontrolovat kvalitu, množství a termíny provádění prací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zhotovitele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při realizaci Projektu vč. kontroly správnosti a úplnosti projektové dokumentace (PD) a harmonogramu prací (HMG). </w:t>
      </w:r>
    </w:p>
    <w:p w14:paraId="6A733B93" w14:textId="5CADDE1A" w:rsidR="00FB39F1" w:rsidRPr="009D1326" w:rsidRDefault="00FB39F1" w:rsidP="00060002">
      <w:pPr>
        <w:rPr>
          <w:rFonts w:ascii="Book Antiqua" w:hAnsi="Book Antiqua"/>
          <w:bCs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TDI bude plnit pokyny </w:t>
      </w:r>
      <w:r w:rsidR="00F76ABC"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bCs/>
          <w:color w:val="000000" w:themeColor="text1"/>
          <w:szCs w:val="22"/>
          <w:lang w:val="cs-CZ"/>
        </w:rPr>
        <w:t xml:space="preserve">a zejména plnit následující činnosti: </w:t>
      </w:r>
    </w:p>
    <w:p w14:paraId="61C15ABB" w14:textId="77777777" w:rsidR="00FB39F1" w:rsidRPr="009D1326" w:rsidRDefault="00FB39F1" w:rsidP="00060002">
      <w:pPr>
        <w:jc w:val="both"/>
        <w:rPr>
          <w:rFonts w:ascii="Book Antiqua" w:hAnsi="Book Antiqua"/>
          <w:b/>
          <w:color w:val="000000" w:themeColor="text1"/>
          <w:szCs w:val="22"/>
          <w:lang w:val="cs-CZ"/>
        </w:rPr>
      </w:pPr>
    </w:p>
    <w:p w14:paraId="51C29A17" w14:textId="77777777" w:rsidR="00FB39F1" w:rsidRPr="009D1326" w:rsidRDefault="00FB39F1" w:rsidP="00060002">
      <w:pPr>
        <w:rPr>
          <w:rFonts w:ascii="Book Antiqua" w:hAnsi="Book Antiqua"/>
          <w:vanish/>
          <w:color w:val="000000" w:themeColor="text1"/>
          <w:szCs w:val="22"/>
          <w:lang w:val="cs-CZ"/>
        </w:rPr>
      </w:pPr>
    </w:p>
    <w:p w14:paraId="319E3C3F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seznámení se s obsahem smluvní dokumentace, s obsahem a podmínkami všech povolení a vyjádření příslušných správních orgánů a organizací, jakož i s doklady, na které tyto dokumenty odkazují a s obsahem všech dodavatelských a dalších souvisejících smluv,</w:t>
      </w:r>
    </w:p>
    <w:p w14:paraId="1E7A1933" w14:textId="152E7F36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správnosti veškeré zhotovitelem předávané dokumentace pro provádění stavby a výrobní dokumentace, klasifikace jednotlivých předaných částí (A— chváleno, B-schváleno s připomínkami, C- neschváleno) a kontrola nápravy zjištěných nedostatků.),</w:t>
      </w:r>
    </w:p>
    <w:p w14:paraId="4D258AF9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účast na pasportizaci dotčených objektů a prostor,</w:t>
      </w:r>
    </w:p>
    <w:p w14:paraId="307553ED" w14:textId="64445362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průběžná fotodokumentace stavby v rozsahu dostatečně dokumentujícím jednotlivé fáze stavby,</w:t>
      </w:r>
    </w:p>
    <w:p w14:paraId="202175BA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sledování vedení stavebních deníků v souladu se smluvními podmínkami, pořizování zápisů do stavebních deníků, archivace originálů,</w:t>
      </w:r>
    </w:p>
    <w:p w14:paraId="3EAE371D" w14:textId="41AB165C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pravidelné schůzky s odpovědnými techniky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na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stavbě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 projednání a kontrola činností,</w:t>
      </w:r>
    </w:p>
    <w:p w14:paraId="3C852582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komunikace a řešení problémů s projektanty v rámci autorského dozoru,</w:t>
      </w:r>
    </w:p>
    <w:p w14:paraId="5AFCBB20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operativní uplatňování námětů směřujících k úsporám během výstavby,</w:t>
      </w:r>
    </w:p>
    <w:p w14:paraId="2CA39EBB" w14:textId="5B85A42F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bezodkladné informování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o všech závažných okolnostech ovlivňujících termíny, kvalitu či stavební náklady výstavby,</w:t>
      </w:r>
    </w:p>
    <w:p w14:paraId="1C0D3930" w14:textId="30F873F8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kontrola plnění povinností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týkající se sledování případné dekontaminace zeminy při výkopových pracích,</w:t>
      </w:r>
    </w:p>
    <w:p w14:paraId="4257A454" w14:textId="4685C33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hlášení a vyjádření k případným archeologickým nálezům, po předchozím informování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>zadavatele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</w:t>
      </w:r>
    </w:p>
    <w:p w14:paraId="374805B4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dodržování obecných technických požadavků na výstavbu, kontrola dodržování norem i jiných technických předpisů,</w:t>
      </w:r>
    </w:p>
    <w:p w14:paraId="610FA667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dodržování podmínek územního rozhodnutí, stavebních povolení a opatření státního stavebního dohledu po dobu realizace výstavby,</w:t>
      </w:r>
    </w:p>
    <w:p w14:paraId="306F995B" w14:textId="149EF1D2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kontrola kvality veškerých prací </w:t>
      </w:r>
      <w:r w:rsidR="00F76ABC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a všech dalších dodavatelů,</w:t>
      </w:r>
    </w:p>
    <w:p w14:paraId="445B0D07" w14:textId="30AFBACA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sledování, zda </w:t>
      </w:r>
      <w:r w:rsidR="003E3821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dodává materiály a výrobky v souladu s projektovou dokumentaci, s obchodními specifikacemi a se vzorky odsouhlasenými příkazcem,</w:t>
      </w:r>
    </w:p>
    <w:p w14:paraId="16458592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protokolární kontrola těch částí díla, které budou v dalším postupu zakryty, anebo se stanou nepřístupné,</w:t>
      </w:r>
    </w:p>
    <w:p w14:paraId="0421E7EB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řádného uskladnění materiálů, strojů, zařízení a konstrukcí na staveništi,</w:t>
      </w:r>
    </w:p>
    <w:p w14:paraId="23CAC67D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sledování provádění předepsaných a dohodnutých zkoušek výrobků, materiálů, konstrukcí a prací a kontrola a evidence jejich výsledků,</w:t>
      </w:r>
    </w:p>
    <w:p w14:paraId="352D7204" w14:textId="1ADE7DD1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spolupráce s ostatními účastníky Projektu a členy týmu </w:t>
      </w:r>
      <w:r w:rsidR="00BC413B" w:rsidRPr="009D1326">
        <w:rPr>
          <w:rFonts w:ascii="Book Antiqua" w:hAnsi="Book Antiqua"/>
          <w:color w:val="000000" w:themeColor="text1"/>
          <w:szCs w:val="22"/>
          <w:lang w:val="cs-CZ"/>
        </w:rPr>
        <w:t>zhotovitele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, zejména s koordinátorem BOZP, při zabezpečení BOZP na staveništi, spoluúčast na běžné kontrolní činnosti na úseku BOZP. Evidence a šetření všech nehod, pracovních úrazů, smrtelných úrazů,</w:t>
      </w:r>
    </w:p>
    <w:p w14:paraId="3217556B" w14:textId="393A7D3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průběžná kontrola úklidu staveniště zhotovitel</w:t>
      </w:r>
      <w:r w:rsidR="00BC413B" w:rsidRPr="009D1326">
        <w:rPr>
          <w:rFonts w:ascii="Book Antiqua" w:hAnsi="Book Antiqua"/>
          <w:color w:val="000000" w:themeColor="text1"/>
          <w:szCs w:val="22"/>
          <w:lang w:val="cs-CZ"/>
        </w:rPr>
        <w:t>em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zejména s důrazem na vyklizení staveniště před kolaudaci a převzetím díla,</w:t>
      </w:r>
    </w:p>
    <w:p w14:paraId="35D4FF58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provozních zkoušek jednotlivých komponentů, funkčních celků a komplexních zkoušek,</w:t>
      </w:r>
    </w:p>
    <w:p w14:paraId="4754A2C4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dohled nad provedením zkoušek &amp; předvedení funkčnosti požadovaných objednatelem nad rámec kolaudačního řízení (např. komplexní vyzkoušení),</w:t>
      </w:r>
    </w:p>
    <w:p w14:paraId="4A815879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lastRenderedPageBreak/>
        <w:t>aktivní účast na před přejímkách, přejímkách a zkouškách dokončených částí stavby i celého díla včetně přípravy, popř. kontroly vypracovaných protokolů,</w:t>
      </w:r>
    </w:p>
    <w:p w14:paraId="3E2E83C3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vyhotovení seznamu vad a nedodělků (VaN) díla před kolaudaci a předáním s klasifikací jednotlivých VaN do jednotlivých skupin,</w:t>
      </w:r>
    </w:p>
    <w:p w14:paraId="1981B7B1" w14:textId="77777777" w:rsidR="00FB39F1" w:rsidRPr="009D1326" w:rsidRDefault="00FB39F1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kontrola odstraňování VaN z kolaudačního a předávacího řízení do jejich úplného odstranění,</w:t>
      </w:r>
    </w:p>
    <w:p w14:paraId="56E1DB7B" w14:textId="5EE4D6BF" w:rsidR="00592D46" w:rsidRPr="009D1326" w:rsidRDefault="00592D46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účast na kontrolních dnech stavby,</w:t>
      </w:r>
    </w:p>
    <w:p w14:paraId="1857E0B1" w14:textId="3F6C7C8A" w:rsidR="00B82987" w:rsidRPr="009D1326" w:rsidRDefault="00B82987" w:rsidP="00060002">
      <w:pPr>
        <w:pStyle w:val="Odstavecseseznamem"/>
        <w:numPr>
          <w:ilvl w:val="0"/>
          <w:numId w:val="16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Aktivní účast při řešení reklamací – po výzvě objednatele.</w:t>
      </w:r>
      <w:r w:rsidR="000A4E39" w:rsidRPr="009D1326">
        <w:rPr>
          <w:rFonts w:ascii="Book Antiqua" w:hAnsi="Book Antiqua"/>
          <w:snapToGrid w:val="0"/>
          <w:color w:val="000000" w:themeColor="text1"/>
          <w:szCs w:val="24"/>
        </w:rPr>
        <w:t xml:space="preserve"> </w:t>
      </w:r>
      <w:r w:rsidR="000A4E39" w:rsidRPr="009D1326">
        <w:rPr>
          <w:rFonts w:ascii="Book Antiqua" w:hAnsi="Book Antiqua"/>
          <w:color w:val="000000" w:themeColor="text1"/>
          <w:szCs w:val="22"/>
        </w:rPr>
        <w:t>Řešení reklamačních vad po dobu záruky 60měsíců</w:t>
      </w:r>
    </w:p>
    <w:p w14:paraId="2329960C" w14:textId="77777777" w:rsidR="00FB39F1" w:rsidRPr="009D1326" w:rsidRDefault="00FB39F1" w:rsidP="00060002">
      <w:pPr>
        <w:spacing w:after="160" w:line="259" w:lineRule="auto"/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br w:type="page"/>
      </w:r>
    </w:p>
    <w:p w14:paraId="0D6E11EB" w14:textId="13E28265" w:rsidR="00FB39F1" w:rsidRPr="009D1326" w:rsidRDefault="00FB39F1" w:rsidP="001B636E">
      <w:pPr>
        <w:pStyle w:val="Odstavecseseznamem"/>
        <w:numPr>
          <w:ilvl w:val="0"/>
          <w:numId w:val="7"/>
        </w:numPr>
        <w:rPr>
          <w:rFonts w:ascii="Book Antiqua" w:hAnsi="Book Antiqua"/>
          <w:b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lastRenderedPageBreak/>
        <w:t>Koordinátor</w:t>
      </w:r>
      <w:r w:rsidR="00565652" w:rsidRPr="009D1326">
        <w:rPr>
          <w:rFonts w:ascii="Book Antiqua" w:hAnsi="Book Antiqua"/>
          <w:b/>
          <w:color w:val="000000" w:themeColor="text1"/>
          <w:szCs w:val="22"/>
          <w:lang w:val="cs-CZ"/>
        </w:rPr>
        <w:t xml:space="preserve"> bezpečnosti a ochrany zdraví při práci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 xml:space="preserve"> </w:t>
      </w:r>
      <w:r w:rsidR="00565652" w:rsidRPr="009D1326">
        <w:rPr>
          <w:rFonts w:ascii="Book Antiqua" w:hAnsi="Book Antiqua"/>
          <w:b/>
          <w:color w:val="000000" w:themeColor="text1"/>
          <w:szCs w:val="22"/>
          <w:lang w:val="cs-CZ"/>
        </w:rPr>
        <w:t>(dále jen „</w:t>
      </w:r>
      <w:r w:rsidR="00C54911" w:rsidRPr="009D1326">
        <w:rPr>
          <w:rFonts w:ascii="Book Antiqua" w:hAnsi="Book Antiqua"/>
          <w:b/>
          <w:color w:val="000000" w:themeColor="text1"/>
          <w:szCs w:val="22"/>
          <w:lang w:val="cs-CZ"/>
        </w:rPr>
        <w:t xml:space="preserve">Koordinátor </w:t>
      </w:r>
      <w:r w:rsidRPr="009D1326">
        <w:rPr>
          <w:rFonts w:ascii="Book Antiqua" w:hAnsi="Book Antiqua"/>
          <w:b/>
          <w:color w:val="000000" w:themeColor="text1"/>
          <w:szCs w:val="22"/>
          <w:lang w:val="cs-CZ"/>
        </w:rPr>
        <w:t>BOZP</w:t>
      </w:r>
      <w:r w:rsidR="00565652" w:rsidRPr="009D1326">
        <w:rPr>
          <w:rFonts w:ascii="Book Antiqua" w:hAnsi="Book Antiqua"/>
          <w:b/>
          <w:color w:val="000000" w:themeColor="text1"/>
          <w:szCs w:val="22"/>
          <w:lang w:val="cs-CZ"/>
        </w:rPr>
        <w:t>“</w:t>
      </w:r>
      <w:r w:rsidR="00C54911" w:rsidRPr="009D1326">
        <w:rPr>
          <w:rFonts w:ascii="Book Antiqua" w:hAnsi="Book Antiqua"/>
          <w:b/>
          <w:color w:val="000000" w:themeColor="text1"/>
          <w:szCs w:val="22"/>
          <w:lang w:val="cs-CZ"/>
        </w:rPr>
        <w:t>)</w:t>
      </w:r>
    </w:p>
    <w:p w14:paraId="52B229C1" w14:textId="77777777" w:rsidR="00FB39F1" w:rsidRPr="009D1326" w:rsidRDefault="00FB39F1" w:rsidP="00060002">
      <w:pPr>
        <w:jc w:val="both"/>
        <w:rPr>
          <w:rFonts w:ascii="Book Antiqua" w:hAnsi="Book Antiqua"/>
          <w:color w:val="000000" w:themeColor="text1"/>
          <w:szCs w:val="22"/>
          <w:lang w:val="cs-CZ"/>
        </w:rPr>
      </w:pPr>
    </w:p>
    <w:p w14:paraId="17F8B299" w14:textId="7896641B" w:rsidR="00FB39F1" w:rsidRPr="009D1326" w:rsidRDefault="00FB39F1" w:rsidP="00060002">
      <w:p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Koordinátora BOZP</w:t>
      </w:r>
      <w:r w:rsidR="00C54911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 se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zavazuje poskytovat plnění v rozsahu potřebném k zajištění plnění úkolů odborně způsobilé osoby k zajištění BOZP na staveništi, a to jak při přípravě, tak při realizaci Projektu. Koordinátor BOZP je povinen plnit požadavky a poskytovat plnění dle zák.č.309/2006 Sb. </w:t>
      </w:r>
    </w:p>
    <w:p w14:paraId="7E631B4C" w14:textId="77777777" w:rsidR="00FB39F1" w:rsidRPr="009D1326" w:rsidRDefault="00FB39F1" w:rsidP="00060002">
      <w:p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Během realizace Projektu je Koordinátor BOZP povinen zejména: </w:t>
      </w:r>
    </w:p>
    <w:p w14:paraId="3B1B270C" w14:textId="77777777" w:rsidR="00FB39F1" w:rsidRPr="009D1326" w:rsidRDefault="00FB39F1" w:rsidP="00060002">
      <w:pPr>
        <w:jc w:val="both"/>
        <w:rPr>
          <w:rFonts w:ascii="Book Antiqua" w:hAnsi="Book Antiqua"/>
          <w:color w:val="000000" w:themeColor="text1"/>
          <w:szCs w:val="22"/>
          <w:lang w:val="cs-CZ"/>
        </w:rPr>
      </w:pPr>
    </w:p>
    <w:p w14:paraId="1BB5DBB1" w14:textId="77777777" w:rsidR="00FB39F1" w:rsidRPr="009D1326" w:rsidRDefault="00FB39F1" w:rsidP="00060002">
      <w:pPr>
        <w:rPr>
          <w:rFonts w:ascii="Book Antiqua" w:hAnsi="Book Antiqua"/>
          <w:vanish/>
          <w:color w:val="000000" w:themeColor="text1"/>
          <w:szCs w:val="22"/>
          <w:lang w:val="cs-CZ"/>
        </w:rPr>
      </w:pPr>
    </w:p>
    <w:p w14:paraId="2AB9D118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zajišťovat koordinaci BOZP v rámci realizační fáze novostavby,</w:t>
      </w:r>
    </w:p>
    <w:p w14:paraId="35975D9C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koordinovat spolupráci zhotovitelů nebo osob jimi pověřených při přijímání opatření k 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povolání, </w:t>
      </w:r>
    </w:p>
    <w:p w14:paraId="0AEF05FD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dávat podněty a doporučovat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navazovat,</w:t>
      </w:r>
    </w:p>
    <w:p w14:paraId="0EC565FF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spolupracovat při stanovení času potřebného k bezpečnému provádění jednotlivých prací nebo činností,</w:t>
      </w:r>
    </w:p>
    <w:p w14:paraId="45E6AC1F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sledovat provádění prací na staveništi se zaměřením na zjišťování, zda jsou dodržovány požadavky na bezpečnost a ochranu zdraví při práci, upozorňuje na zjištěné nedostatky a požaduje bez zbytečného odkladu zjednání nápravy, </w:t>
      </w:r>
    </w:p>
    <w:p w14:paraId="3D65FBDA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kontrolovat zabezpečení obvodu staveniště, včetně vstupu a vjezdu na staveniště s cílem zamezit vstup nepovoleným fyzickým osobám, </w:t>
      </w:r>
    </w:p>
    <w:p w14:paraId="0C7BA4D4" w14:textId="784BEA29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spolupracovat se zástupci zaměstnanců pro oblast bezpečnosti a ochrany zdraví při práci a s příslušnými odborovými organizacemi, popřípadě s fyzickou osobou provádějící TDI, jakož i se zástupci zhotovitele apro oblast BOZP, </w:t>
      </w:r>
    </w:p>
    <w:p w14:paraId="7E6F0931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zúčastňovat se kontrolních prohlídek stavby, k nimž byl přizván stavebním úřadem podle zvláštního právního předpisu, </w:t>
      </w:r>
    </w:p>
    <w:p w14:paraId="04C09524" w14:textId="136324DA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navrhovat termíny kontrolních dnů k dodržování plánu za účasti </w:t>
      </w:r>
      <w:r w:rsidR="008818F7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zhotovitele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nebo osob jimi pověřených a organizovat jejich konání, </w:t>
      </w:r>
    </w:p>
    <w:p w14:paraId="6B262EC3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sledovat, zda zhotovitelé dodržují plán BOZP a projednávat s nimi přijetí opatření a termíny k nápravě zjištěných nedostatků, </w:t>
      </w:r>
    </w:p>
    <w:p w14:paraId="32DCE0E2" w14:textId="77777777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>provádět zápisy o zjištěných nedostatcích v bezpečnosti a ochraně zdraví při práci na staveništi, na něž prokazatelně upozornil zhotovitele, a dále zapisovat údaje o tom, zda a jakým způsobem byly tyto nedostatky odstraněny, popř. neprodleně informovat příkazce, že k odstranění zjištěných nedostatků nedošlo ve stanovených termínech,</w:t>
      </w:r>
    </w:p>
    <w:p w14:paraId="5EAC0342" w14:textId="5D897FB5" w:rsidR="00FB39F1" w:rsidRPr="009D1326" w:rsidRDefault="00FB39F1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vést evidenci všech pracovních úrazů, k nimž došlo u zaměstnanců </w:t>
      </w:r>
      <w:r w:rsidR="008818F7" w:rsidRPr="009D1326">
        <w:rPr>
          <w:rFonts w:ascii="Book Antiqua" w:hAnsi="Book Antiqua"/>
          <w:color w:val="000000" w:themeColor="text1"/>
          <w:szCs w:val="22"/>
          <w:lang w:val="cs-CZ"/>
        </w:rPr>
        <w:t xml:space="preserve">zadavatele </w:t>
      </w:r>
      <w:r w:rsidRPr="009D1326">
        <w:rPr>
          <w:rFonts w:ascii="Book Antiqua" w:hAnsi="Book Antiqua"/>
          <w:color w:val="000000" w:themeColor="text1"/>
          <w:szCs w:val="22"/>
          <w:lang w:val="cs-CZ"/>
        </w:rPr>
        <w:t>v souvislosti s realizací Projektu, spolupracovat při jejich vyšetřování a při zpracování návrhu na jejich odškodnění včetně podnětů, a přijímat opatření k nápravě, zajistit odborné preventivní kontroly staveniště v pravidelných termínech, a to dle potřeby, nejméně 1x týdně (s ohledem na provádění stavebních prací a na rizikovost při jednotlivých stavebních činnostech) včetně účasti na každém kontrolním dnu stavby, o němž bude vyrozuměn. Koordinační a preventivní kontrola se zaměří zejména na dodržování platných právních předpisů v oblasti požární ochrany (PO) a BOZP, výsledek této kontroly bude součástí zápisu v el. podobě z provedené kontroly staveniště, rozsah kontrolní činnosti Koordinátora BOZP na staveništi je stanoven dle potřeby postupu výstavby, minimálně však 1x za 14 dní.</w:t>
      </w:r>
    </w:p>
    <w:p w14:paraId="627A5ADA" w14:textId="77777777" w:rsidR="00BF5249" w:rsidRPr="009D1326" w:rsidRDefault="00BF5249" w:rsidP="00BF5249">
      <w:pPr>
        <w:pStyle w:val="odstavec-odraz"/>
        <w:numPr>
          <w:ilvl w:val="0"/>
          <w:numId w:val="17"/>
        </w:numPr>
        <w:spacing w:after="0" w:line="276" w:lineRule="auto"/>
        <w:jc w:val="both"/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</w:pPr>
      <w:r w:rsidRP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lastRenderedPageBreak/>
        <w:t>dodržovat povinnosti dle § 18 zákona č. 309/2006 Sb., o zajištění dalších podmínek bezpečnosti a ochrany zdraví při práci (dále jen zákon BOZP)</w:t>
      </w:r>
    </w:p>
    <w:p w14:paraId="0AFC4EF1" w14:textId="77777777" w:rsidR="00BF5249" w:rsidRPr="009D1326" w:rsidRDefault="00BF5249" w:rsidP="00BF5249">
      <w:pPr>
        <w:pStyle w:val="odstavec-odraz"/>
        <w:numPr>
          <w:ilvl w:val="0"/>
          <w:numId w:val="17"/>
        </w:numPr>
        <w:spacing w:after="0" w:line="276" w:lineRule="auto"/>
        <w:jc w:val="both"/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</w:pPr>
      <w:r w:rsidRP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t>povinnosti uložené prováděcími předpisy,</w:t>
      </w:r>
    </w:p>
    <w:p w14:paraId="0C6D1CB1" w14:textId="7BDC77B9" w:rsidR="00BF5249" w:rsidRPr="009D1326" w:rsidRDefault="00BF5249" w:rsidP="00BF5249">
      <w:pPr>
        <w:pStyle w:val="odstavec-odraz"/>
        <w:numPr>
          <w:ilvl w:val="0"/>
          <w:numId w:val="17"/>
        </w:numPr>
        <w:spacing w:after="0" w:line="276" w:lineRule="auto"/>
        <w:jc w:val="both"/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</w:pPr>
      <w:r w:rsidRP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t xml:space="preserve">jménem </w:t>
      </w:r>
      <w:r w:rsid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t xml:space="preserve">zadavatele </w:t>
      </w:r>
      <w:bookmarkStart w:id="0" w:name="_GoBack"/>
      <w:bookmarkEnd w:id="0"/>
      <w:r w:rsidRP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t>zaslat oznámení dle § 15 odst. 1 zákona BOZP,</w:t>
      </w:r>
    </w:p>
    <w:p w14:paraId="50F25B10" w14:textId="77777777" w:rsidR="00BF5249" w:rsidRPr="009D1326" w:rsidRDefault="00BF5249" w:rsidP="00BF5249">
      <w:pPr>
        <w:pStyle w:val="odstavec-odraz"/>
        <w:numPr>
          <w:ilvl w:val="0"/>
          <w:numId w:val="17"/>
        </w:numPr>
        <w:spacing w:after="0" w:line="276" w:lineRule="auto"/>
        <w:jc w:val="both"/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</w:pPr>
      <w:r w:rsidRPr="009D1326">
        <w:rPr>
          <w:rFonts w:ascii="Book Antiqua" w:hAnsi="Book Antiqua"/>
          <w:i w:val="0"/>
          <w:color w:val="000000" w:themeColor="text1"/>
          <w:spacing w:val="-2"/>
          <w:sz w:val="22"/>
          <w:szCs w:val="22"/>
        </w:rPr>
        <w:t>zajistit vyhotovení plánu dle § 15 odst. 2 zákona BOZP,</w:t>
      </w:r>
    </w:p>
    <w:p w14:paraId="3DF8C016" w14:textId="2D22BE2D" w:rsidR="00BF5249" w:rsidRPr="009D1326" w:rsidRDefault="000A4E39" w:rsidP="00BF5249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pacing w:val="-2"/>
          <w:szCs w:val="22"/>
        </w:rPr>
        <w:t>S</w:t>
      </w:r>
      <w:r w:rsidR="00BF5249" w:rsidRPr="009D1326">
        <w:rPr>
          <w:rFonts w:ascii="Book Antiqua" w:hAnsi="Book Antiqua"/>
          <w:color w:val="000000" w:themeColor="text1"/>
          <w:spacing w:val="-2"/>
          <w:szCs w:val="22"/>
        </w:rPr>
        <w:t>eznámit před zahájením stavby příkazce a zhotovitele stavby s plánem dle § 15</w:t>
      </w:r>
      <w:r w:rsidR="00BF5249" w:rsidRPr="009D1326">
        <w:rPr>
          <w:rFonts w:ascii="Book Antiqua" w:hAnsi="Book Antiqua"/>
          <w:color w:val="000000" w:themeColor="text1"/>
          <w:spacing w:val="-2"/>
          <w:szCs w:val="22"/>
        </w:rPr>
        <w:br/>
        <w:t>odst. 2 zákona BOZP</w:t>
      </w:r>
      <w:r w:rsidRPr="009D1326">
        <w:rPr>
          <w:rFonts w:ascii="Book Antiqua" w:hAnsi="Book Antiqua"/>
          <w:color w:val="000000" w:themeColor="text1"/>
          <w:spacing w:val="-2"/>
          <w:szCs w:val="22"/>
        </w:rPr>
        <w:t>.</w:t>
      </w:r>
    </w:p>
    <w:p w14:paraId="0805EDEC" w14:textId="7395DA3A" w:rsidR="003F719E" w:rsidRPr="009D1326" w:rsidRDefault="000A4E39" w:rsidP="00060002">
      <w:pPr>
        <w:pStyle w:val="Odstavecseseznamem"/>
        <w:numPr>
          <w:ilvl w:val="0"/>
          <w:numId w:val="17"/>
        </w:numPr>
        <w:rPr>
          <w:rFonts w:ascii="Book Antiqua" w:hAnsi="Book Antiqua"/>
          <w:color w:val="000000" w:themeColor="text1"/>
          <w:szCs w:val="22"/>
          <w:lang w:val="cs-CZ"/>
        </w:rPr>
      </w:pPr>
      <w:r w:rsidRPr="009D1326">
        <w:rPr>
          <w:rFonts w:ascii="Book Antiqua" w:hAnsi="Book Antiqua"/>
          <w:color w:val="000000" w:themeColor="text1"/>
          <w:szCs w:val="22"/>
        </w:rPr>
        <w:t>Řešení reklamačních vad po dobu záruky 60měsíců</w:t>
      </w:r>
    </w:p>
    <w:sectPr w:rsidR="003F719E" w:rsidRPr="009D13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635793" w16cex:dateUtc="2024-09-30T06:58:00Z"/>
  <w16cex:commentExtensible w16cex:durableId="10B325A0" w16cex:dateUtc="2024-10-08T11:35:00Z"/>
  <w16cex:commentExtensible w16cex:durableId="3237C996" w16cex:dateUtc="2024-09-30T06:47:00Z"/>
  <w16cex:commentExtensible w16cex:durableId="19637609" w16cex:dateUtc="2024-10-08T11:44:00Z"/>
  <w16cex:commentExtensible w16cex:durableId="4337ED66" w16cex:dateUtc="2024-10-08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67E787" w16cid:durableId="70635793"/>
  <w16cid:commentId w16cid:paraId="2A22A38E" w16cid:durableId="10B325A0"/>
  <w16cid:commentId w16cid:paraId="38BE9C92" w16cid:durableId="3237C996"/>
  <w16cid:commentId w16cid:paraId="59A890D7" w16cid:durableId="19637609"/>
  <w16cid:commentId w16cid:paraId="20D5402F" w16cid:durableId="4337ED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9DAD9" w14:textId="77777777" w:rsidR="00665A18" w:rsidRDefault="00665A18" w:rsidP="00FB39F1">
      <w:r>
        <w:separator/>
      </w:r>
    </w:p>
  </w:endnote>
  <w:endnote w:type="continuationSeparator" w:id="0">
    <w:p w14:paraId="615C5802" w14:textId="77777777" w:rsidR="00665A18" w:rsidRDefault="00665A18" w:rsidP="00F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04519507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4EEA1D20" w14:textId="77777777" w:rsidR="00FB39F1" w:rsidRDefault="00FB39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26" w:rsidRPr="009D1326">
          <w:rPr>
            <w:noProof/>
            <w:lang w:val="cs-CZ"/>
          </w:rPr>
          <w:t>6</w:t>
        </w:r>
        <w:r>
          <w:fldChar w:fldCharType="end"/>
        </w:r>
      </w:p>
    </w:sdtContent>
  </w:sdt>
  <w:p w14:paraId="066C2EC4" w14:textId="77777777" w:rsidR="00FB39F1" w:rsidRDefault="00FB39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C2670" w14:textId="77777777" w:rsidR="00665A18" w:rsidRDefault="00665A18" w:rsidP="00FB39F1">
      <w:r>
        <w:separator/>
      </w:r>
    </w:p>
  </w:footnote>
  <w:footnote w:type="continuationSeparator" w:id="0">
    <w:p w14:paraId="2D019864" w14:textId="77777777" w:rsidR="00665A18" w:rsidRDefault="00665A18" w:rsidP="00FB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54A246"/>
    <w:lvl w:ilvl="0">
      <w:start w:val="1"/>
      <w:numFmt w:val="none"/>
      <w:pStyle w:val="Nadpis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1" w15:restartNumberingAfterBreak="0">
    <w:nsid w:val="03A45007"/>
    <w:multiLevelType w:val="hybridMultilevel"/>
    <w:tmpl w:val="CBAAEFF6"/>
    <w:lvl w:ilvl="0" w:tplc="B254F02C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B6570B"/>
    <w:multiLevelType w:val="hybridMultilevel"/>
    <w:tmpl w:val="04966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00C"/>
    <w:multiLevelType w:val="multilevel"/>
    <w:tmpl w:val="0405001F"/>
    <w:numStyleLink w:val="111111"/>
  </w:abstractNum>
  <w:abstractNum w:abstractNumId="4" w15:restartNumberingAfterBreak="0">
    <w:nsid w:val="24601F83"/>
    <w:multiLevelType w:val="hybridMultilevel"/>
    <w:tmpl w:val="2FEAA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C6A"/>
    <w:multiLevelType w:val="hybridMultilevel"/>
    <w:tmpl w:val="4FC8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6564"/>
    <w:multiLevelType w:val="hybridMultilevel"/>
    <w:tmpl w:val="056AF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6764"/>
    <w:multiLevelType w:val="multilevel"/>
    <w:tmpl w:val="6B96EBDC"/>
    <w:styleLink w:val="Aktulnseznam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247703"/>
    <w:multiLevelType w:val="multilevel"/>
    <w:tmpl w:val="100A9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8D283F"/>
    <w:multiLevelType w:val="multilevel"/>
    <w:tmpl w:val="0405001F"/>
    <w:numStyleLink w:val="111111"/>
  </w:abstractNum>
  <w:abstractNum w:abstractNumId="10" w15:restartNumberingAfterBreak="0">
    <w:nsid w:val="4B036E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444592"/>
    <w:multiLevelType w:val="hybridMultilevel"/>
    <w:tmpl w:val="2FEAA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4474"/>
    <w:multiLevelType w:val="multilevel"/>
    <w:tmpl w:val="100A9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F616C6"/>
    <w:multiLevelType w:val="hybridMultilevel"/>
    <w:tmpl w:val="B5065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B83B63"/>
    <w:multiLevelType w:val="hybridMultilevel"/>
    <w:tmpl w:val="EF92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6F36"/>
    <w:multiLevelType w:val="multilevel"/>
    <w:tmpl w:val="0405001F"/>
    <w:numStyleLink w:val="111111"/>
  </w:abstractNum>
  <w:abstractNum w:abstractNumId="16" w15:restartNumberingAfterBreak="0">
    <w:nsid w:val="61B22DF6"/>
    <w:multiLevelType w:val="hybridMultilevel"/>
    <w:tmpl w:val="2FEAA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F20"/>
    <w:multiLevelType w:val="multilevel"/>
    <w:tmpl w:val="9CE8F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CB7FED"/>
    <w:multiLevelType w:val="hybridMultilevel"/>
    <w:tmpl w:val="5DA05914"/>
    <w:lvl w:ilvl="0" w:tplc="2500D3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481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D15FE0"/>
    <w:multiLevelType w:val="multilevel"/>
    <w:tmpl w:val="0405001F"/>
    <w:numStyleLink w:val="111111"/>
  </w:abstractNum>
  <w:num w:numId="1">
    <w:abstractNumId w:val="0"/>
  </w:num>
  <w:num w:numId="2">
    <w:abstractNumId w:val="8"/>
  </w:num>
  <w:num w:numId="3">
    <w:abstractNumId w:val="17"/>
  </w:num>
  <w:num w:numId="4">
    <w:abstractNumId w:val="13"/>
  </w:num>
  <w:num w:numId="5">
    <w:abstractNumId w:val="12"/>
  </w:num>
  <w:num w:numId="6">
    <w:abstractNumId w:val="18"/>
  </w:num>
  <w:num w:numId="7">
    <w:abstractNumId w:val="16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9"/>
  </w:num>
  <w:num w:numId="13">
    <w:abstractNumId w:val="7"/>
  </w:num>
  <w:num w:numId="14">
    <w:abstractNumId w:val="10"/>
  </w:num>
  <w:num w:numId="15">
    <w:abstractNumId w:val="20"/>
  </w:num>
  <w:num w:numId="16">
    <w:abstractNumId w:val="3"/>
  </w:num>
  <w:num w:numId="17">
    <w:abstractNumId w:val="15"/>
  </w:num>
  <w:num w:numId="18">
    <w:abstractNumId w:val="4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F1"/>
    <w:rsid w:val="00060002"/>
    <w:rsid w:val="0007077F"/>
    <w:rsid w:val="000A4E39"/>
    <w:rsid w:val="00161D1B"/>
    <w:rsid w:val="001B636E"/>
    <w:rsid w:val="002873CA"/>
    <w:rsid w:val="00377361"/>
    <w:rsid w:val="003E3821"/>
    <w:rsid w:val="003F719E"/>
    <w:rsid w:val="004C3007"/>
    <w:rsid w:val="00565652"/>
    <w:rsid w:val="00592D46"/>
    <w:rsid w:val="00665A18"/>
    <w:rsid w:val="007A5A3D"/>
    <w:rsid w:val="008818F7"/>
    <w:rsid w:val="008C1C51"/>
    <w:rsid w:val="008D7FEA"/>
    <w:rsid w:val="009D1326"/>
    <w:rsid w:val="009D77BC"/>
    <w:rsid w:val="00A971AF"/>
    <w:rsid w:val="00B01A43"/>
    <w:rsid w:val="00B21ED2"/>
    <w:rsid w:val="00B82987"/>
    <w:rsid w:val="00BC413B"/>
    <w:rsid w:val="00BF5249"/>
    <w:rsid w:val="00C44AA6"/>
    <w:rsid w:val="00C54911"/>
    <w:rsid w:val="00D32C9B"/>
    <w:rsid w:val="00D55484"/>
    <w:rsid w:val="00D649F2"/>
    <w:rsid w:val="00DB580D"/>
    <w:rsid w:val="00DC7E6E"/>
    <w:rsid w:val="00EE2505"/>
    <w:rsid w:val="00EF4D45"/>
    <w:rsid w:val="00F76ABC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5C46"/>
  <w15:chartTrackingRefBased/>
  <w15:docId w15:val="{A9BA43F4-E2AF-4A06-A982-98123D5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8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4"/>
      <w:lang w:val="en-GB"/>
    </w:rPr>
  </w:style>
  <w:style w:type="paragraph" w:styleId="Nadpis1">
    <w:name w:val="heading 1"/>
    <w:basedOn w:val="Normln"/>
    <w:next w:val="Nadpis2"/>
    <w:link w:val="Nadpis1Char"/>
    <w:qFormat/>
    <w:rsid w:val="00FB39F1"/>
    <w:pPr>
      <w:keepNext/>
      <w:pageBreakBefore/>
      <w:numPr>
        <w:numId w:val="1"/>
      </w:numPr>
      <w:spacing w:before="240" w:after="24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F1"/>
    <w:rPr>
      <w:rFonts w:ascii="Times New Roman" w:eastAsia="Times New Roman" w:hAnsi="Times New Roman" w:cs="Times New Roman"/>
      <w:b/>
      <w:snapToGrid w:val="0"/>
      <w:sz w:val="28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B39F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napToGrid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9F1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  <w:lang w:val="en-GB"/>
    </w:rPr>
  </w:style>
  <w:style w:type="paragraph" w:styleId="Zhlav">
    <w:name w:val="header"/>
    <w:basedOn w:val="Normln"/>
    <w:link w:val="ZhlavChar"/>
    <w:uiPriority w:val="99"/>
    <w:unhideWhenUsed/>
    <w:rsid w:val="00FB3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9F1"/>
    <w:rPr>
      <w:rFonts w:ascii="Times New Roman" w:eastAsia="Times New Roman" w:hAnsi="Times New Roman" w:cs="Times New Roman"/>
      <w:snapToGrid w:val="0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FB39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9F1"/>
    <w:rPr>
      <w:rFonts w:ascii="Times New Roman" w:eastAsia="Times New Roman" w:hAnsi="Times New Roman" w:cs="Times New Roman"/>
      <w:snapToGrid w:val="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9F1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9D7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7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77B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7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7BC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numbering" w:customStyle="1" w:styleId="Aktulnseznam1">
    <w:name w:val="Aktuální seznam1"/>
    <w:uiPriority w:val="99"/>
    <w:rsid w:val="00060002"/>
    <w:pPr>
      <w:numPr>
        <w:numId w:val="13"/>
      </w:numPr>
    </w:pPr>
  </w:style>
  <w:style w:type="numbering" w:styleId="111111">
    <w:name w:val="Outline List 2"/>
    <w:basedOn w:val="Bezseznamu"/>
    <w:uiPriority w:val="99"/>
    <w:semiHidden/>
    <w:unhideWhenUsed/>
    <w:rsid w:val="00060002"/>
    <w:pPr>
      <w:numPr>
        <w:numId w:val="14"/>
      </w:numPr>
    </w:pPr>
  </w:style>
  <w:style w:type="paragraph" w:styleId="Revize">
    <w:name w:val="Revision"/>
    <w:hidden/>
    <w:uiPriority w:val="99"/>
    <w:semiHidden/>
    <w:rsid w:val="00F76A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4"/>
      <w:lang w:val="en-GB"/>
    </w:rPr>
  </w:style>
  <w:style w:type="character" w:customStyle="1" w:styleId="WW8Num1z1">
    <w:name w:val="WW8Num1z1"/>
    <w:rsid w:val="00BF5249"/>
  </w:style>
  <w:style w:type="paragraph" w:customStyle="1" w:styleId="odstavec-odraz">
    <w:name w:val="odstavec - odraz"/>
    <w:basedOn w:val="Normln"/>
    <w:rsid w:val="00BF5249"/>
    <w:pPr>
      <w:spacing w:after="120"/>
      <w:ind w:left="708" w:hanging="198"/>
    </w:pPr>
    <w:rPr>
      <w:i/>
      <w:snapToGrid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0" ma:contentTypeDescription="Vytvoří nový dokument" ma:contentTypeScope="" ma:versionID="0b82938406577b48300d85091067e41e">
  <xsd:schema xmlns:xsd="http://www.w3.org/2001/XMLSchema" xmlns:xs="http://www.w3.org/2001/XMLSchema" xmlns:p="http://schemas.microsoft.com/office/2006/metadata/properties" xmlns:ns2="cf0a9ae1-8cbd-46b5-940d-b8fd28fd22a4" targetNamespace="http://schemas.microsoft.com/office/2006/metadata/properties" ma:root="true" ma:fieldsID="a1c142b5bc9d3b24eeddc9deab332bf4" ns2:_="">
    <xsd:import namespace="cf0a9ae1-8cbd-46b5-940d-b8fd28fd2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F32B-1574-4A82-9CC7-C464F78A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268B0-5AFA-4D0F-965D-3E562767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0B388-5AC2-4A2C-AB8C-57006B2F2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EDF42-DA04-41A6-AF9A-2C98097F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1948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Vavruška Karel Ing.</dc:creator>
  <cp:keywords/>
  <dc:description/>
  <cp:lastModifiedBy>Pavel Pytlík</cp:lastModifiedBy>
  <cp:revision>14</cp:revision>
  <cp:lastPrinted>2020-08-27T12:31:00Z</cp:lastPrinted>
  <dcterms:created xsi:type="dcterms:W3CDTF">2024-10-08T11:41:00Z</dcterms:created>
  <dcterms:modified xsi:type="dcterms:W3CDTF">2024-10-24T11:28:00Z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</Properties>
</file>