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d9d9d9" w:themeFill="background1" w:themeFillShade="D9"/>
        <w:spacing w:after="120"/>
        <w: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Specifikace Technologie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</w:p>
    <w:p>
      <w:pPr>
        <w:widowControl w:val="false"/>
        <w:pBdr/>
        <w:spacing w:after="120"/>
        <w:ind/>
        <w:rPr>
          <w:rFonts w:ascii="Times New Roman" w:hAnsi="Times New Roman" w:cs="Times New Roman"/>
          <w:sz w:val="22"/>
          <w:szCs w:val="22"/>
          <w:lang w:eastAsia="en-US"/>
        </w:rPr>
      </w:pPr>
      <w:r/>
      <w:bookmarkStart w:id="0" w:name="_Hlk161865738"/>
      <w:r>
        <w:rPr>
          <w:rFonts w:ascii="Times New Roman" w:hAnsi="Times New Roman" w:cs="Times New Roman"/>
          <w:sz w:val="22"/>
          <w:szCs w:val="22"/>
          <w:lang w:eastAsia="en-US"/>
        </w:rPr>
        <w:t xml:space="preserve">Účastník zadávacího řízení:</w:t>
      </w:r>
      <w:r>
        <w:rPr>
          <w:rFonts w:ascii="Times New Roman" w:hAnsi="Times New Roman" w:cs="Times New Roman"/>
          <w:sz w:val="22"/>
          <w:szCs w:val="22"/>
          <w:lang w:eastAsia="en-US"/>
        </w:rPr>
      </w:r>
      <w:r>
        <w:rPr>
          <w:rFonts w:ascii="Times New Roman" w:hAnsi="Times New Roman" w:cs="Times New Roman"/>
          <w:sz w:val="22"/>
          <w:szCs w:val="22"/>
          <w:lang w:eastAsia="en-US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8"/>
        <w:gridCol w:w="6364"/>
      </w:tblGrid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NÁZEV, FIRMA: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SÍDLO: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ZASTOUPEN/JEDNAJÍCÍ: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rPr>
          <w:jc w:val="center"/>
          <w:trHeight w:val="379"/>
        </w:trPr>
        <w:tc>
          <w:tcPr>
            <w:shd w:val="clear" w:color="auto" w:fill="bfbfbf" w:themeFill="background1" w:themeFillShade="BF"/>
            <w:tcBorders/>
            <w:tcW w:w="136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IČO: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3635" w:type="pct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highlight w:val="yellow"/>
              </w:rPr>
              <w:t xml:space="preserve">VYPLNÍ ÚČASTNÍK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</w:tbl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souvislosti s nadlimitní veřejnou zakázkou na dodávky s názvem „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FVE TZMT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II</w:t>
      </w:r>
      <w:r>
        <w:rPr>
          <w:rFonts w:ascii="Times New Roman" w:hAnsi="Times New Roman" w:cs="Times New Roman"/>
          <w:sz w:val="22"/>
          <w:szCs w:val="22"/>
        </w:rPr>
        <w:t xml:space="preserve">“, zadavatele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Tělovýchovná zařízení města Tábora s.r.o., IČO: 25171127, sídlem Václava Soumara 2300, 390 03 Tábor</w:t>
      </w:r>
      <w:r>
        <w:rPr>
          <w:rFonts w:ascii="Times New Roman" w:hAnsi="Times New Roman" w:cs="Times New Roman"/>
          <w:sz w:val="22"/>
          <w:szCs w:val="22"/>
        </w:rPr>
        <w:t xml:space="preserve">, zadávané podle § 56 a násl. zákona č. 134/2016 Sb., o zadávání veřejných zakázek (dále jen „ZZVZ“), </w:t>
      </w:r>
      <w:bookmarkEnd w:id="0"/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</w:t>
      </w:r>
      <w:r>
        <w:rPr>
          <w:rFonts w:ascii="Times New Roman" w:hAnsi="Times New Roman" w:cs="Times New Roman"/>
          <w:sz w:val="22"/>
          <w:szCs w:val="22"/>
        </w:rPr>
        <w:t xml:space="preserve"> tabulce níže jsou uvedeny požadované technické parametry dodávaných komponentů. Parametry jsou definovány buď jako minimální, maximální, rozmezí či jako přesně daná hodnota či vlastnost.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prázdné kolonky uchazeč doplní: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72"/>
        <w:numPr>
          <w:ilvl w:val="0"/>
          <w:numId w:val="3"/>
        </w:numPr>
        <w:pBdr/>
        <w:spacing w:after="120" w:line="240" w:lineRule="auto"/>
        <w:ind w:hanging="567"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v případě vyčíslitelného parametru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konkrétní číselnou hodnotu</w:t>
      </w:r>
      <w:r>
        <w:rPr>
          <w:rFonts w:ascii="Times New Roman" w:hAnsi="Times New Roman" w:cs="Times New Roman"/>
        </w:rPr>
        <w:t xml:space="preserve"> (odpovídající požadovanému minimu, maximu či přesně dané hodnotě);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numPr>
          <w:ilvl w:val="0"/>
          <w:numId w:val="3"/>
        </w:numPr>
        <w:pBdr/>
        <w:spacing w:after="120" w:line="240" w:lineRule="auto"/>
        <w:ind w:hanging="567"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v případě nevyčíslitelného parametru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ANO/NE</w:t>
      </w:r>
      <w:r>
        <w:rPr>
          <w:rFonts w:ascii="Times New Roman" w:hAnsi="Times New Roman" w:cs="Times New Roman"/>
        </w:rPr>
        <w:t xml:space="preserve"> v závislosti na tom, zda jeho nabízené zařízení požadavek splňuje/nesplňuje.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případě, že nabídka </w:t>
      </w:r>
      <w:r>
        <w:rPr>
          <w:rFonts w:ascii="Times New Roman" w:hAnsi="Times New Roman" w:cs="Times New Roman"/>
          <w:sz w:val="22"/>
          <w:szCs w:val="22"/>
        </w:rPr>
        <w:t xml:space="preserve">účastníka</w:t>
      </w:r>
      <w:r>
        <w:rPr>
          <w:rFonts w:ascii="Times New Roman" w:hAnsi="Times New Roman" w:cs="Times New Roman"/>
          <w:sz w:val="22"/>
          <w:szCs w:val="22"/>
        </w:rPr>
        <w:t xml:space="preserve"> nebude splňovat požadované parametry (tj. v případě vyčíslitelného parametru nabídka nesplní požadovanou hodnotu a v případě nevyčíslitelného parametru bude u požadavku uvedeno NE) bude nabídka takového </w:t>
      </w:r>
      <w:r>
        <w:rPr>
          <w:rFonts w:ascii="Times New Roman" w:hAnsi="Times New Roman" w:cs="Times New Roman"/>
          <w:sz w:val="22"/>
          <w:szCs w:val="22"/>
        </w:rPr>
        <w:t xml:space="preserve">účastníka</w:t>
      </w:r>
      <w:r>
        <w:rPr>
          <w:rFonts w:ascii="Times New Roman" w:hAnsi="Times New Roman" w:cs="Times New Roman"/>
          <w:sz w:val="22"/>
          <w:szCs w:val="22"/>
        </w:rPr>
        <w:t xml:space="preserve"> vyloučena z</w:t>
      </w:r>
      <w:r>
        <w:rPr>
          <w:rFonts w:ascii="Times New Roman" w:hAnsi="Times New Roman" w:cs="Times New Roman"/>
          <w:sz w:val="22"/>
          <w:szCs w:val="22"/>
        </w:rPr>
        <w:t xml:space="preserve">e zadávacího</w:t>
      </w:r>
      <w:r>
        <w:rPr>
          <w:rFonts w:ascii="Times New Roman" w:hAnsi="Times New Roman" w:cs="Times New Roman"/>
          <w:sz w:val="22"/>
          <w:szCs w:val="22"/>
        </w:rPr>
        <w:t xml:space="preserve"> řízení.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3"/>
        <w:pBdr>
          <w:bottom w:val="single" w:color="000000" w:sz="4" w:space="1"/>
        </w:pBdr>
        <w:spacing w:after="120" w:before="0"/>
        <w:ind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Požadavky na fotovoltaické výrobny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dle podmínek výzvy č. 4/2022 RES+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Bdr>
          <w:bottom w:val="single" w:color="000000" w:sz="4" w:space="1"/>
        </w:pBdr>
        <w:shd w:val="clear" w:color="auto" w:fill="d9d9d9" w:themeFill="background1" w:themeFillShade="D9"/>
        <w:spacing w:after="120"/>
        <w:ind w:righ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 01 Zimní stadion Tábor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702" w:type="dxa"/>
        <w:tblInd w:w="-68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1418"/>
        <w:gridCol w:w="1134"/>
        <w:gridCol w:w="1701"/>
        <w:gridCol w:w="1417"/>
      </w:tblGrid>
      <w:tr>
        <w:trPr>
          <w:trHeight w:val="50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Parametr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Požadavek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Jednotka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Nabízená hodnota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Nabízený typ, značka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Monokrystalický fotovoltaický panel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(„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half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cell“ moduly jsou přípustné)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ANO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Účinnost panelu (při STC Cell temp.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25°C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AM1.5, 1000W/m²)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Garantovaná účinnost panelu po 25 letech provozu (ve vztahu k původní hodnotě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Pmax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panelu)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Produktová záruční doba na fotovoltaický panel*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Účinnost střídače EURO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97,0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Záruka na střídače*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Elektronický portál – monitoring výroby, identifikace poruch atd.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záruka musí být garantována výrobcem zařízení a doložena záručním listem nebo garančním dokumentem výrobce. Záruka poskytnutá dodavatelem bez zajištění výrobcem nebude akceptována.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Instalované měniče musí být vybaveny plynulou, nebo diskrétní řiditelností dodávaného výkonu do elektrizační soustavy umožňující změnu dodávaného výkonu výrobny.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Instalovány budou výhradně fotovoltaické moduly, měniče a akumulátory s nezávisle ověřenými parametry prokázanými certifikáty vydanými akreditovanými certifikačními orgány na základě níže uvedených souborů norem: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9209" w:type="dxa"/>
        <w:tblBorders/>
        <w:tblLook w:val="04A0" w:firstRow="1" w:lastRow="0" w:firstColumn="1" w:lastColumn="0" w:noHBand="0" w:noVBand="1"/>
      </w:tblPr>
      <w:tblGrid>
        <w:gridCol w:w="2405"/>
        <w:gridCol w:w="6804"/>
      </w:tblGrid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Technologie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Soubory norem (je-li relevantní)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Fotovoltaické moduly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IEC 61215, IEC 61730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Měniče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IEC 61727, IEC 62116, normy řady IEC 61000 dle typu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Elektrické akumulátory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dle typu akumulátoru (pro nejčastější lithiové akumulátory IEC 3056:2020 nebo IEC 62619:2017 nebo IEC 62620:2014)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>
          <w:bottom w:val="single" w:color="000000" w:sz="4" w:space="1"/>
        </w:pBdr>
        <w:shd w:val="clear" w:color="auto" w:fill="d9d9d9" w:themeFill="background1" w:themeFillShade="D9"/>
        <w:spacing w:after="120"/>
        <w:ind w:right="-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 02 FVE ZŠ Zborovská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tbl>
      <w:tblPr>
        <w:tblW w:w="9702" w:type="dxa"/>
        <w:tblInd w:w="-68" w:type="dxa"/>
        <w:tblBorders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1418"/>
        <w:gridCol w:w="1134"/>
        <w:gridCol w:w="1417"/>
        <w:gridCol w:w="1701"/>
      </w:tblGrid>
      <w:tr>
        <w:trPr>
          <w:trHeight w:val="50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Parametr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Požadavek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Jednotka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Nabízená hodnota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Nabízený typ, značka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Monokrystalický fotovoltaický panel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(„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half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cell“ moduly jsou přípustné)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ANO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Účinnost panelu (při STC Cell temp.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25°C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AM1.5, 1000W/m²)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18,0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Garantovaná účinnost panelu po 25 letech provozu (ve vztahu k původní hodnotě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Pmax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panelu)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Produktová záruční doba na fotovoltaický panel*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Účinnost střídače EURO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97,0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Záruka na střídače*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let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Elektronický portál – monitoring výroby, identifikace poruch atd.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ANO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 w:after="120"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záruka musí být garantována výrobcem zařízení a doložena záručním listem nebo garančním dokumentem výrobce. Záruka poskytnutá dodavatelem bez zajištění výrobcem nebude akceptována.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Instalované měniče musí být vybaveny plynulou, nebo diskrétní řiditelností dodávaného výkonu do elektrizační soustavy umožňující změnu dodávaného výkonu výrobny.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Instalovány budou výhradně fotovoltaické moduly, měniče a akumulátory s nezávisle ověřenými parametry prokázanými certifikáty vydanými akreditovanými certifikačními orgány na základě níže uvedených souborů norem: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880"/>
        <w:tblW w:w="9209" w:type="dxa"/>
        <w:tblBorders/>
        <w:tblLook w:val="04A0" w:firstRow="1" w:lastRow="0" w:firstColumn="1" w:lastColumn="0" w:noHBand="0" w:noVBand="1"/>
      </w:tblPr>
      <w:tblGrid>
        <w:gridCol w:w="2405"/>
        <w:gridCol w:w="6804"/>
      </w:tblGrid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Technologie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Soubory norem (je-li relevantní)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Fotovoltaické moduly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IEC 61215, IEC 61730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Měniče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IEC 61727, IEC 62116, normy řady IEC 61000 dle typu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2405" w:type="dxa"/>
            <w:textDirection w:val="lrTb"/>
            <w:noWrap w:val="false"/>
          </w:tcPr>
          <w:p>
            <w:pPr>
              <w:pBdr/>
              <w:spacing w:after="120"/>
              <w: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Elektrické akumulátory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804" w:type="dxa"/>
            <w:textDirection w:val="lrTb"/>
            <w:noWrap w:val="false"/>
          </w:tcPr>
          <w:p>
            <w:pPr>
              <w:pBdr/>
              <w:spacing w:after="120"/>
              <w: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dle typu akumulátoru (pro nejčastější lithiové akumulátory IEC 3056:2020 nebo IEC 62619:2017 nebo IEC 62620:2014)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…………………… dne ………………………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tabs>
          <w:tab w:val="right" w:leader="none" w:pos="9072"/>
        </w:tabs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tabs>
          <w:tab w:val="right" w:leader="none" w:pos="9072"/>
        </w:tabs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jméno a příjmení osoby oprávněné jednat za dodavatele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Bdr/>
        <w:tabs>
          <w:tab w:val="right" w:leader="none" w:pos="9072"/>
        </w:tabs>
        <w:spacing w:after="120"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razítko a podpis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headerReference w:type="firs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84328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854714" name="Obrázek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66.4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−"/>
      <w:numFmt w:val="bullet"/>
      <w:pPr>
        <w:pBdr/>
        <w:spacing/>
        <w:ind w:hanging="705" w:left="1065"/>
      </w:pPr>
      <w:rPr>
        <w:rFonts w:hint="default" w:ascii="Calibri" w:hAnsi="Calibri" w:eastAsia="Times New Roman" w:cs="Calibr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Restart w:val="0"/>
      <w:lvlText w:val="-"/>
      <w:numFmt w:val="none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2">
      <w:isLgl w:val="false"/>
      <w:lvlJc w:val="righ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(%4)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hint="default"/>
      </w:rPr>
      <w:start w:val="1"/>
      <w:suff w:val="tab"/>
    </w:lvl>
    <w:lvl w:ilvl="4">
      <w:isLgl w:val="false"/>
      <w:lvlJc w:val="left"/>
      <w:lvlText w:val="(%5)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hint="default"/>
      </w:rPr>
      <w:start w:val="1"/>
      <w:suff w:val="tab"/>
    </w:lvl>
    <w:lvl w:ilvl="5">
      <w:isLgl w:val="false"/>
      <w:lvlJc w:val="left"/>
      <w:lvlText w:val="(%6)"/>
      <w:numFmt w:val="lowerRoman"/>
      <w:pPr>
        <w:pBdr/>
        <w:tabs>
          <w:tab w:val="num" w:leader="none" w:pos="2160"/>
        </w:tabs>
        <w:spacing/>
        <w:ind w:hanging="360" w:left="2160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520"/>
        </w:tabs>
        <w:spacing/>
        <w:ind w:hanging="360" w:left="2520"/>
      </w:pPr>
      <w:rPr>
        <w:rFonts w:hint="default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2880"/>
        </w:tabs>
        <w:spacing/>
        <w:ind w:hanging="360" w:left="2880"/>
      </w:pPr>
      <w:rPr>
        <w:rFonts w:hint="default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tabs>
          <w:tab w:val="num" w:leader="none" w:pos="3240"/>
        </w:tabs>
        <w:spacing/>
        <w:ind w:hanging="360" w:left="3240"/>
      </w:pPr>
      <w:rPr>
        <w:rFonts w:hint="default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cs-CZ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3">
    <w:name w:val="Table Grid Light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1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2"/>
    <w:basedOn w:val="8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1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2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3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4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5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6"/>
    <w:basedOn w:val="8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1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3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4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5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6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1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2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3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4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5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6"/>
    <w:basedOn w:val="8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1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2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3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4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5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6"/>
    <w:basedOn w:val="8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8">
    <w:name w:val="Heading 2"/>
    <w:basedOn w:val="862"/>
    <w:next w:val="862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9">
    <w:name w:val="Heading 3"/>
    <w:basedOn w:val="862"/>
    <w:next w:val="862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0">
    <w:name w:val="Heading 4"/>
    <w:basedOn w:val="862"/>
    <w:next w:val="862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1">
    <w:name w:val="Heading 5"/>
    <w:basedOn w:val="862"/>
    <w:next w:val="862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2">
    <w:name w:val="Heading 6"/>
    <w:basedOn w:val="862"/>
    <w:next w:val="862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3">
    <w:name w:val="Heading 7"/>
    <w:basedOn w:val="862"/>
    <w:next w:val="862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4">
    <w:name w:val="Heading 8"/>
    <w:basedOn w:val="862"/>
    <w:next w:val="862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5">
    <w:name w:val="Heading 9"/>
    <w:basedOn w:val="862"/>
    <w:next w:val="862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6">
    <w:name w:val="Heading 1 Char"/>
    <w:basedOn w:val="864"/>
    <w:link w:val="8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64"/>
    <w:link w:val="8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6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6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64"/>
    <w:link w:val="8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6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64"/>
    <w:link w:val="8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64"/>
    <w:link w:val="8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64"/>
    <w:link w:val="8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2"/>
    <w:next w:val="862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6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2"/>
    <w:next w:val="862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6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2"/>
    <w:next w:val="862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6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1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2">
    <w:name w:val="Intense Quote"/>
    <w:basedOn w:val="862"/>
    <w:next w:val="862"/>
    <w:link w:val="84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3">
    <w:name w:val="Intense Quote Char"/>
    <w:basedOn w:val="864"/>
    <w:link w:val="84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4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5">
    <w:name w:val="No Spacing"/>
    <w:basedOn w:val="862"/>
    <w:uiPriority w:val="1"/>
    <w:qFormat/>
    <w:pPr>
      <w:pBdr/>
      <w:spacing w:after="0" w:line="240" w:lineRule="auto"/>
      <w:ind/>
    </w:pPr>
  </w:style>
  <w:style w:type="character" w:styleId="846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7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48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49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0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1">
    <w:name w:val="Header Char"/>
    <w:basedOn w:val="864"/>
    <w:link w:val="881"/>
    <w:uiPriority w:val="99"/>
    <w:pPr>
      <w:pBdr/>
      <w:spacing/>
      <w:ind/>
    </w:pPr>
  </w:style>
  <w:style w:type="character" w:styleId="852">
    <w:name w:val="Footer Char"/>
    <w:basedOn w:val="864"/>
    <w:link w:val="883"/>
    <w:uiPriority w:val="99"/>
    <w:pPr>
      <w:pBdr/>
      <w:spacing/>
      <w:ind/>
    </w:pPr>
  </w:style>
  <w:style w:type="paragraph" w:styleId="853">
    <w:name w:val="Caption"/>
    <w:basedOn w:val="862"/>
    <w:next w:val="8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54">
    <w:name w:val="Footnote Text Char"/>
    <w:basedOn w:val="864"/>
    <w:link w:val="868"/>
    <w:uiPriority w:val="99"/>
    <w:semiHidden/>
    <w:pPr>
      <w:pBdr/>
      <w:spacing/>
      <w:ind/>
    </w:pPr>
    <w:rPr>
      <w:sz w:val="20"/>
      <w:szCs w:val="20"/>
    </w:rPr>
  </w:style>
  <w:style w:type="paragraph" w:styleId="855">
    <w:name w:val="endnote text"/>
    <w:basedOn w:val="862"/>
    <w:link w:val="8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6">
    <w:name w:val="Endnote Text Char"/>
    <w:basedOn w:val="864"/>
    <w:link w:val="855"/>
    <w:uiPriority w:val="99"/>
    <w:semiHidden/>
    <w:pPr>
      <w:pBdr/>
      <w:spacing/>
      <w:ind/>
    </w:pPr>
    <w:rPr>
      <w:sz w:val="20"/>
      <w:szCs w:val="20"/>
    </w:rPr>
  </w:style>
  <w:style w:type="character" w:styleId="857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858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9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qFormat/>
    <w:pPr>
      <w:pBdr/>
      <w:spacing/>
      <w:ind/>
    </w:pPr>
    <w:rPr>
      <w:rFonts w:ascii="Calibri" w:hAnsi="Calibri" w:cs="Calibri"/>
      <w:sz w:val="24"/>
      <w:szCs w:val="24"/>
    </w:rPr>
  </w:style>
  <w:style w:type="paragraph" w:styleId="863">
    <w:name w:val="Heading 1"/>
    <w:basedOn w:val="862"/>
    <w:next w:val="862"/>
    <w:link w:val="867"/>
    <w:uiPriority w:val="9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 w:cs="Calibri Light"/>
      <w:color w:val="2f5496"/>
      <w:sz w:val="32"/>
      <w:szCs w:val="32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table" w:styleId="8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6" w:default="1">
    <w:name w:val="No List"/>
    <w:uiPriority w:val="99"/>
    <w:semiHidden/>
    <w:unhideWhenUsed/>
    <w:pPr>
      <w:pBdr/>
      <w:spacing/>
      <w:ind/>
    </w:pPr>
  </w:style>
  <w:style w:type="character" w:styleId="867" w:customStyle="1">
    <w:name w:val="Nadpis 1 Char"/>
    <w:link w:val="863"/>
    <w:uiPriority w:val="99"/>
    <w:pPr>
      <w:pBdr/>
      <w:spacing/>
      <w:ind/>
    </w:pPr>
    <w:rPr>
      <w:rFonts w:ascii="Calibri Light" w:hAnsi="Calibri Light" w:cs="Calibri Light"/>
      <w:color w:val="2f5496"/>
      <w:sz w:val="32"/>
      <w:szCs w:val="32"/>
    </w:rPr>
  </w:style>
  <w:style w:type="paragraph" w:styleId="868">
    <w:name w:val="footnote text"/>
    <w:basedOn w:val="862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69" w:customStyle="1">
    <w:name w:val="Text pozn. pod čarou Char"/>
    <w:link w:val="868"/>
    <w:uiPriority w:val="99"/>
    <w:pPr>
      <w:pBdr/>
      <w:spacing/>
      <w:ind/>
    </w:pPr>
    <w:rPr>
      <w:rFonts w:ascii="Calibri" w:hAnsi="Calibri" w:cs="Calibri"/>
      <w:lang w:val="cs-CZ" w:eastAsia="cs-CZ"/>
    </w:rPr>
  </w:style>
  <w:style w:type="character" w:styleId="870">
    <w:name w:val="footnote reference"/>
    <w:uiPriority w:val="99"/>
    <w:semiHidden/>
    <w:pPr>
      <w:pBdr/>
      <w:spacing/>
      <w:ind/>
    </w:pPr>
    <w:rPr>
      <w:vertAlign w:val="superscript"/>
    </w:rPr>
  </w:style>
  <w:style w:type="paragraph" w:styleId="871" w:customStyle="1">
    <w:name w:val="Světlá mřížka – zvýraznění 31"/>
    <w:basedOn w:val="862"/>
    <w:uiPriority w:val="99"/>
    <w:pPr>
      <w:pBdr/>
      <w:spacing w:after="200" w:line="276" w:lineRule="auto"/>
      <w:ind w:left="720"/>
    </w:pPr>
    <w:rPr>
      <w:sz w:val="22"/>
      <w:szCs w:val="22"/>
      <w:lang w:eastAsia="en-US"/>
    </w:rPr>
  </w:style>
  <w:style w:type="paragraph" w:styleId="872">
    <w:name w:val="List Paragraph"/>
    <w:basedOn w:val="862"/>
    <w:uiPriority w:val="99"/>
    <w:qFormat/>
    <w:pPr>
      <w:pBdr/>
      <w:spacing w:after="160" w:line="259" w:lineRule="auto"/>
      <w:ind w:left="720"/>
    </w:pPr>
    <w:rPr>
      <w:sz w:val="22"/>
      <w:szCs w:val="22"/>
      <w:lang w:eastAsia="en-US"/>
    </w:rPr>
  </w:style>
  <w:style w:type="paragraph" w:styleId="873">
    <w:name w:val="Balloon Text"/>
    <w:basedOn w:val="862"/>
    <w:link w:val="87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74" w:customStyle="1">
    <w:name w:val="Text bubliny Char"/>
    <w:link w:val="873"/>
    <w:uiPriority w:val="99"/>
    <w:semiHidden/>
    <w:pPr>
      <w:pBdr/>
      <w:spacing/>
      <w:ind/>
    </w:pPr>
    <w:rPr>
      <w:sz w:val="2"/>
      <w:szCs w:val="2"/>
    </w:rPr>
  </w:style>
  <w:style w:type="character" w:styleId="875">
    <w:name w:val="annotation reference"/>
    <w:uiPriority w:val="99"/>
    <w:semiHidden/>
    <w:pPr>
      <w:pBdr/>
      <w:spacing/>
      <w:ind/>
    </w:pPr>
    <w:rPr>
      <w:sz w:val="16"/>
      <w:szCs w:val="16"/>
    </w:rPr>
  </w:style>
  <w:style w:type="paragraph" w:styleId="876">
    <w:name w:val="annotation text"/>
    <w:basedOn w:val="862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7" w:customStyle="1">
    <w:name w:val="Text komentáře Char"/>
    <w:link w:val="876"/>
    <w:uiPriority w:val="99"/>
    <w:semiHidden/>
    <w:pPr>
      <w:pBdr/>
      <w:spacing/>
      <w:ind/>
    </w:pPr>
    <w:rPr>
      <w:rFonts w:ascii="Calibri" w:hAnsi="Calibri" w:cs="Calibri"/>
      <w:sz w:val="20"/>
      <w:szCs w:val="20"/>
    </w:rPr>
  </w:style>
  <w:style w:type="paragraph" w:styleId="878">
    <w:name w:val="annotation subject"/>
    <w:basedOn w:val="876"/>
    <w:next w:val="876"/>
    <w:link w:val="879"/>
    <w:uiPriority w:val="99"/>
    <w:semiHidden/>
    <w:pPr>
      <w:pBdr/>
      <w:spacing/>
      <w:ind/>
    </w:pPr>
    <w:rPr>
      <w:b/>
      <w:bCs/>
    </w:rPr>
  </w:style>
  <w:style w:type="character" w:styleId="879" w:customStyle="1">
    <w:name w:val="Předmět komentáře Char"/>
    <w:link w:val="878"/>
    <w:uiPriority w:val="99"/>
    <w:semiHidden/>
    <w:pPr>
      <w:pBdr/>
      <w:spacing/>
      <w:ind/>
    </w:pPr>
    <w:rPr>
      <w:rFonts w:ascii="Calibri" w:hAnsi="Calibri" w:cs="Calibri"/>
      <w:b/>
      <w:bCs/>
      <w:sz w:val="20"/>
      <w:szCs w:val="20"/>
    </w:rPr>
  </w:style>
  <w:style w:type="table" w:styleId="880">
    <w:name w:val="Table Grid"/>
    <w:basedOn w:val="865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1">
    <w:name w:val="Header"/>
    <w:basedOn w:val="862"/>
    <w:link w:val="882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82" w:customStyle="1">
    <w:name w:val="Záhlaví Char"/>
    <w:basedOn w:val="864"/>
    <w:link w:val="881"/>
    <w:uiPriority w:val="99"/>
    <w:pPr>
      <w:pBdr/>
      <w:spacing/>
      <w:ind/>
    </w:pPr>
    <w:rPr>
      <w:rFonts w:ascii="Calibri" w:hAnsi="Calibri" w:cs="Calibri"/>
      <w:sz w:val="24"/>
      <w:szCs w:val="24"/>
    </w:rPr>
  </w:style>
  <w:style w:type="paragraph" w:styleId="883">
    <w:name w:val="Footer"/>
    <w:basedOn w:val="862"/>
    <w:link w:val="884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84" w:customStyle="1">
    <w:name w:val="Zápatí Char"/>
    <w:basedOn w:val="864"/>
    <w:link w:val="883"/>
    <w:uiPriority w:val="99"/>
    <w:pPr>
      <w:pBdr/>
      <w:spacing/>
      <w:ind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237F-0B9D-42CD-8E59-C9E22E4F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cp:keywords/>
  <dc:description/>
  <cp:revision>24</cp:revision>
  <dcterms:created xsi:type="dcterms:W3CDTF">2023-02-28T12:24:00Z</dcterms:created>
  <dcterms:modified xsi:type="dcterms:W3CDTF">2024-06-27T12:32:14Z</dcterms:modified>
</cp:coreProperties>
</file>