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5002" w14:textId="5A7CD796" w:rsidR="004A3633" w:rsidRPr="00666322" w:rsidRDefault="00743BA2" w:rsidP="00CB688B">
      <w:pPr>
        <w:pBdr>
          <w:bottom w:val="single" w:sz="24" w:space="1" w:color="385623" w:themeColor="accent6" w:themeShade="80"/>
        </w:pBdr>
        <w:spacing w:after="0"/>
        <w:jc w:val="center"/>
        <w:rPr>
          <w:rFonts w:ascii="Cambria" w:hAnsi="Cambria" w:cs="Poppins"/>
          <w:b/>
          <w:bCs/>
          <w:sz w:val="32"/>
          <w:szCs w:val="32"/>
        </w:rPr>
      </w:pPr>
      <w:r w:rsidRPr="00666322">
        <w:rPr>
          <w:rFonts w:ascii="Cambria" w:hAnsi="Cambria" w:cs="Poppins"/>
          <w:b/>
          <w:bCs/>
          <w:sz w:val="32"/>
          <w:szCs w:val="32"/>
        </w:rPr>
        <w:t xml:space="preserve">IROP2 – </w:t>
      </w:r>
      <w:r w:rsidR="00067F2C" w:rsidRPr="00666322">
        <w:rPr>
          <w:rFonts w:ascii="Cambria" w:hAnsi="Cambria" w:cs="Poppins"/>
          <w:b/>
          <w:bCs/>
          <w:sz w:val="32"/>
          <w:szCs w:val="32"/>
        </w:rPr>
        <w:t>cíle a zásady udržitelného rozvoje</w:t>
      </w:r>
      <w:r w:rsidR="00E15164">
        <w:rPr>
          <w:rFonts w:ascii="Cambria" w:hAnsi="Cambria" w:cs="Poppins"/>
          <w:b/>
          <w:bCs/>
          <w:sz w:val="32"/>
          <w:szCs w:val="32"/>
        </w:rPr>
        <w:t xml:space="preserve"> </w:t>
      </w:r>
      <w:r w:rsidR="00067F2C" w:rsidRPr="00666322">
        <w:rPr>
          <w:rFonts w:ascii="Cambria" w:hAnsi="Cambria" w:cs="Poppins"/>
          <w:b/>
          <w:bCs/>
          <w:sz w:val="32"/>
          <w:szCs w:val="32"/>
        </w:rPr>
        <w:t>a zásadou</w:t>
      </w:r>
      <w:r w:rsidR="00623537">
        <w:rPr>
          <w:rFonts w:ascii="Cambria" w:hAnsi="Cambria" w:cs="Poppins"/>
          <w:b/>
          <w:bCs/>
          <w:sz w:val="32"/>
          <w:szCs w:val="32"/>
        </w:rPr>
        <w:t xml:space="preserve"> </w:t>
      </w:r>
      <w:r w:rsidR="00067F2C" w:rsidRPr="00666322">
        <w:rPr>
          <w:rFonts w:ascii="Cambria" w:hAnsi="Cambria" w:cs="Poppins"/>
          <w:b/>
          <w:bCs/>
          <w:sz w:val="32"/>
          <w:szCs w:val="32"/>
        </w:rPr>
        <w:t>„významně nepoškozovat“ (dále jen „DNSH“) v</w:t>
      </w:r>
      <w:r w:rsidR="00623537">
        <w:rPr>
          <w:rFonts w:ascii="Cambria" w:hAnsi="Cambria" w:cs="Poppins"/>
          <w:b/>
          <w:bCs/>
          <w:sz w:val="32"/>
          <w:szCs w:val="32"/>
        </w:rPr>
        <w:t> </w:t>
      </w:r>
      <w:r w:rsidR="00067F2C" w:rsidRPr="00666322">
        <w:rPr>
          <w:rFonts w:ascii="Cambria" w:hAnsi="Cambria" w:cs="Poppins"/>
          <w:b/>
          <w:bCs/>
          <w:sz w:val="32"/>
          <w:szCs w:val="32"/>
        </w:rPr>
        <w:t>oblasti</w:t>
      </w:r>
      <w:r w:rsidR="00623537">
        <w:rPr>
          <w:rFonts w:ascii="Cambria" w:hAnsi="Cambria" w:cs="Poppins"/>
          <w:b/>
          <w:bCs/>
          <w:sz w:val="32"/>
          <w:szCs w:val="32"/>
        </w:rPr>
        <w:t xml:space="preserve"> </w:t>
      </w:r>
      <w:r w:rsidR="00067F2C" w:rsidRPr="00666322">
        <w:rPr>
          <w:rFonts w:ascii="Cambria" w:hAnsi="Cambria" w:cs="Poppins"/>
          <w:b/>
          <w:bCs/>
          <w:sz w:val="32"/>
          <w:szCs w:val="32"/>
        </w:rPr>
        <w:t>životního prostředí</w:t>
      </w:r>
    </w:p>
    <w:p w14:paraId="253408E2" w14:textId="77777777" w:rsidR="007D09D2" w:rsidRDefault="007D09D2" w:rsidP="00410599">
      <w:pPr>
        <w:jc w:val="both"/>
        <w:rPr>
          <w:rFonts w:ascii="Cambria" w:hAnsi="Cambria" w:cs="Poppins"/>
        </w:rPr>
      </w:pPr>
    </w:p>
    <w:p w14:paraId="393C86CF" w14:textId="1A1CB189" w:rsidR="004A3633" w:rsidRPr="00067F2C" w:rsidRDefault="005C68F5" w:rsidP="00410599">
      <w:pPr>
        <w:jc w:val="both"/>
        <w:rPr>
          <w:rFonts w:ascii="Cambria" w:hAnsi="Cambria" w:cs="Poppins"/>
        </w:rPr>
      </w:pPr>
      <w:r>
        <w:rPr>
          <w:rFonts w:ascii="Cambria" w:hAnsi="Cambria" w:cs="Poppins"/>
        </w:rPr>
        <w:t>Zadavatel upozorňuje, že v</w:t>
      </w:r>
      <w:r w:rsidR="004A3633" w:rsidRPr="00067F2C">
        <w:rPr>
          <w:rFonts w:ascii="Cambria" w:hAnsi="Cambria" w:cs="Poppins"/>
        </w:rPr>
        <w:t>eškeré aktivity projektu musí být realizovány v souladu s cíli a zásadami udržitelného rozvoje a zásadou „významně nepoškozovat“ (dále jen „DNSH“) v oblasti životního prostředí.</w:t>
      </w:r>
    </w:p>
    <w:p w14:paraId="620C749C" w14:textId="4A928F72" w:rsidR="004A3633" w:rsidRPr="00067F2C" w:rsidRDefault="004A3633" w:rsidP="00410599">
      <w:p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Řídicí orgán IROP v souvislosti se specifiky této výzvy upozorňuje především na nutnost dodržet následující parametry, pokud jsou pro projekt relevantní:</w:t>
      </w:r>
    </w:p>
    <w:p w14:paraId="12E27478" w14:textId="381B7703" w:rsidR="004A3633" w:rsidRPr="00067F2C" w:rsidRDefault="004A3633" w:rsidP="00743BA2">
      <w:pPr>
        <w:spacing w:after="0"/>
        <w:jc w:val="both"/>
        <w:rPr>
          <w:rFonts w:ascii="Cambria" w:hAnsi="Cambria" w:cs="Poppins"/>
          <w:u w:val="single"/>
        </w:rPr>
      </w:pPr>
      <w:r w:rsidRPr="00067F2C">
        <w:rPr>
          <w:rFonts w:ascii="Cambria" w:hAnsi="Cambria" w:cs="Poppins"/>
          <w:u w:val="single"/>
        </w:rPr>
        <w:t xml:space="preserve">Udržitelné využívání a ochrana vodních zdrojů: </w:t>
      </w:r>
    </w:p>
    <w:p w14:paraId="149AD35F" w14:textId="10B173C7" w:rsidR="004A3633" w:rsidRPr="00067F2C" w:rsidRDefault="004A3633" w:rsidP="00410599">
      <w:p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Jsou-li instalována tato zařízení k využívání vody, je pro ně uvedená spotřeba vody doložena technickými listy výrobku, stavební certifikací nebo stávajícím štítkem výrobku v EU:</w:t>
      </w:r>
    </w:p>
    <w:p w14:paraId="12ABAAB2" w14:textId="02B349ED" w:rsidR="004A3633" w:rsidRPr="00067F2C" w:rsidRDefault="004A3633" w:rsidP="00743BA2">
      <w:pPr>
        <w:pStyle w:val="Odstavecseseznamem"/>
        <w:numPr>
          <w:ilvl w:val="0"/>
          <w:numId w:val="2"/>
        </w:num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umyvadlové baterie a kuchyňské baterie mají maximální průtok vody 6 litrů/min;</w:t>
      </w:r>
    </w:p>
    <w:p w14:paraId="5EC03791" w14:textId="3327B827" w:rsidR="004A3633" w:rsidRPr="00067F2C" w:rsidRDefault="004A3633" w:rsidP="00743BA2">
      <w:pPr>
        <w:pStyle w:val="Odstavecseseznamem"/>
        <w:numPr>
          <w:ilvl w:val="0"/>
          <w:numId w:val="2"/>
        </w:num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sprchy mají maximální průtok vody 8 litrů/min;</w:t>
      </w:r>
    </w:p>
    <w:p w14:paraId="0F20ABC4" w14:textId="15D08CB6" w:rsidR="004A3633" w:rsidRPr="00067F2C" w:rsidRDefault="004A3633" w:rsidP="00743BA2">
      <w:pPr>
        <w:pStyle w:val="Odstavecseseznamem"/>
        <w:numPr>
          <w:ilvl w:val="0"/>
          <w:numId w:val="2"/>
        </w:num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WC, zahrnující soupravy, mísy a splachovací nádrže, mají úplný objem splachovací vody maximálně 6 litrů a maximální průměrný objem splachovací vody 3,5 litru;</w:t>
      </w:r>
    </w:p>
    <w:p w14:paraId="736A3BDE" w14:textId="7CB2D2BE" w:rsidR="004A3633" w:rsidRPr="00067F2C" w:rsidRDefault="004A3633" w:rsidP="00743BA2">
      <w:pPr>
        <w:pStyle w:val="Odstavecseseznamem"/>
        <w:numPr>
          <w:ilvl w:val="0"/>
          <w:numId w:val="2"/>
        </w:num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pisoáry spotřebují maximálně 2 litry/mísu/hodinu. Splachovací pisoáry mají maximální úplný objem splachovací vody 1 litr.</w:t>
      </w:r>
    </w:p>
    <w:p w14:paraId="4D87A04B" w14:textId="734BBECD" w:rsidR="004A3633" w:rsidRPr="00067F2C" w:rsidRDefault="004A3633" w:rsidP="00743BA2">
      <w:pPr>
        <w:spacing w:after="0"/>
        <w:jc w:val="both"/>
        <w:rPr>
          <w:rFonts w:ascii="Cambria" w:hAnsi="Cambria" w:cs="Poppins"/>
          <w:u w:val="single"/>
        </w:rPr>
      </w:pPr>
      <w:r w:rsidRPr="00067F2C">
        <w:rPr>
          <w:rFonts w:ascii="Cambria" w:hAnsi="Cambria" w:cs="Poppins"/>
          <w:u w:val="single"/>
        </w:rPr>
        <w:t>Přechod na oběhové hospodářství:</w:t>
      </w:r>
    </w:p>
    <w:p w14:paraId="671D45C5" w14:textId="3BE3C15F" w:rsidR="004A3633" w:rsidRPr="00067F2C" w:rsidRDefault="004A3633" w:rsidP="00410599">
      <w:p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 musí být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6C7FD2CD" w14:textId="77777777" w:rsidR="00A16935" w:rsidRPr="00067F2C" w:rsidRDefault="004A3633" w:rsidP="00A16935">
      <w:pPr>
        <w:spacing w:after="0"/>
        <w:jc w:val="both"/>
        <w:rPr>
          <w:rFonts w:ascii="Cambria" w:hAnsi="Cambria" w:cs="Poppins"/>
          <w:u w:val="single"/>
        </w:rPr>
      </w:pPr>
      <w:r w:rsidRPr="00067F2C">
        <w:rPr>
          <w:rFonts w:ascii="Cambria" w:hAnsi="Cambria" w:cs="Poppins"/>
          <w:u w:val="single"/>
        </w:rPr>
        <w:t>Prevence a omezování znečištění:</w:t>
      </w:r>
    </w:p>
    <w:p w14:paraId="690A7F50" w14:textId="2C4EF7A9" w:rsidR="004A3633" w:rsidRPr="00067F2C" w:rsidRDefault="004A3633" w:rsidP="00410599">
      <w:p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Ze stavebních prvků a materiálů použitých při stavbě, které mohou přijít do styku s uživateli, se při zkouškách v souladu s podmínkami uvedenými v příloze XVII nařízení Evropského parlamentu a Rady (ES) č. 1907/2006 uvolňuje méně než 0,06 mg formaldehydu na m³ materiálu nebo prvku a při zkouškách podle normy CEN/EN 16516 a ISO 16000-3:2011 nebo jiných srovnatelných standardizovaných zkušebních podmínek a metod stanovení méně než 0,001 mg jiných karcinogenních těkavých organických sloučenin kategorie 1A a 1B na m³ materiálu nebo prvku.</w:t>
      </w:r>
    </w:p>
    <w:p w14:paraId="52C31DB7" w14:textId="2567BFA4" w:rsidR="004A3633" w:rsidRPr="00067F2C" w:rsidRDefault="004A3633" w:rsidP="00410599">
      <w:p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Pokud je nová stavba umístěna na potenciálně kontaminovaném místě (brownfield), bylo na staveništi provedeno šetření na potenciální kontaminující látky, například podle normy ISO 18400.</w:t>
      </w:r>
    </w:p>
    <w:p w14:paraId="2257E6C6" w14:textId="182FCE2C" w:rsidR="004A3633" w:rsidRPr="00067F2C" w:rsidRDefault="004A3633" w:rsidP="00410599">
      <w:p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Přijímají se opatření ke snížení hluku, prachu a emisí znečišťujících látek při stavebních nebo údržbářských pracích.</w:t>
      </w:r>
    </w:p>
    <w:p w14:paraId="213D05FC" w14:textId="4AD2C72A" w:rsidR="004A3633" w:rsidRPr="00067F2C" w:rsidRDefault="004A3633" w:rsidP="00743BA2">
      <w:pPr>
        <w:spacing w:after="0"/>
        <w:jc w:val="both"/>
        <w:rPr>
          <w:rFonts w:ascii="Cambria" w:hAnsi="Cambria" w:cs="Poppins"/>
          <w:u w:val="single"/>
        </w:rPr>
      </w:pPr>
      <w:r w:rsidRPr="00067F2C">
        <w:rPr>
          <w:rFonts w:ascii="Cambria" w:hAnsi="Cambria" w:cs="Poppins"/>
          <w:u w:val="single"/>
        </w:rPr>
        <w:t>Ochrana a obnova biologické rozmanitosti a ekosystémů:</w:t>
      </w:r>
    </w:p>
    <w:p w14:paraId="3D1B5609" w14:textId="7D052E6B" w:rsidR="004A3633" w:rsidRPr="00067F2C" w:rsidRDefault="004A3633" w:rsidP="00410599">
      <w:p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Nová budova není postavena na:</w:t>
      </w:r>
    </w:p>
    <w:p w14:paraId="5CC067AB" w14:textId="4F798678" w:rsidR="004A3633" w:rsidRPr="00067F2C" w:rsidRDefault="004A3633" w:rsidP="00166F04">
      <w:pPr>
        <w:pStyle w:val="Odstavecseseznamem"/>
        <w:numPr>
          <w:ilvl w:val="0"/>
          <w:numId w:val="4"/>
        </w:num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lastRenderedPageBreak/>
        <w:t>orné půdě a zemědělské půdě se střední až vysokou úrovní úrodnosti a podzemní biologické rozmanitosti podle průzkumu EU LUCAS</w:t>
      </w:r>
    </w:p>
    <w:p w14:paraId="5C55E123" w14:textId="04288AEE" w:rsidR="004A3633" w:rsidRPr="00067F2C" w:rsidRDefault="004A3633" w:rsidP="00166F04">
      <w:pPr>
        <w:pStyle w:val="Odstavecseseznamem"/>
        <w:numPr>
          <w:ilvl w:val="0"/>
          <w:numId w:val="4"/>
        </w:num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zelené louce s uznávanou vysokou hodnotou biologické rozmanitosti a půdě, která slouží jako stanoviště ohrožených druhů (flóry a fauny) uvedených na Evropském červeném seznamu nebo na Červeném seznamu ohrožených druhů IUCN</w:t>
      </w:r>
    </w:p>
    <w:p w14:paraId="50FF0F17" w14:textId="0AA6E79B" w:rsidR="00166F04" w:rsidRPr="00067F2C" w:rsidRDefault="004A3633" w:rsidP="00EC3647">
      <w:pPr>
        <w:pStyle w:val="Odstavecseseznamem"/>
        <w:numPr>
          <w:ilvl w:val="0"/>
          <w:numId w:val="4"/>
        </w:num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půdě, která odpovídá definici lesa stanovené ve vnitrostátních právních předpisech nebo používané v národní inventuře skleníkových plynů, nebo pokud taková definice neexistuje, půdě, která je v souladu s definicí lesa podle FA</w:t>
      </w:r>
      <w:r w:rsidR="00743BA2" w:rsidRPr="00067F2C">
        <w:rPr>
          <w:rFonts w:ascii="Cambria" w:hAnsi="Cambria" w:cs="Poppins"/>
        </w:rPr>
        <w:t>O</w:t>
      </w:r>
      <w:r w:rsidRPr="00067F2C">
        <w:rPr>
          <w:rFonts w:ascii="Cambria" w:hAnsi="Cambria" w:cs="Poppins"/>
        </w:rPr>
        <w:t>.</w:t>
      </w:r>
    </w:p>
    <w:sectPr w:rsidR="00166F04" w:rsidRPr="00067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altName w:val="Poppins"/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0661F"/>
    <w:multiLevelType w:val="hybridMultilevel"/>
    <w:tmpl w:val="42C019FE"/>
    <w:lvl w:ilvl="0" w:tplc="0A20AAB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11AA8"/>
    <w:multiLevelType w:val="hybridMultilevel"/>
    <w:tmpl w:val="A1409C7E"/>
    <w:lvl w:ilvl="0" w:tplc="0A20AAB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C47CF"/>
    <w:multiLevelType w:val="hybridMultilevel"/>
    <w:tmpl w:val="74FA40A8"/>
    <w:lvl w:ilvl="0" w:tplc="7EBEBC46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B0F4D"/>
    <w:multiLevelType w:val="hybridMultilevel"/>
    <w:tmpl w:val="6F00C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639805">
    <w:abstractNumId w:val="3"/>
  </w:num>
  <w:num w:numId="2" w16cid:durableId="892500486">
    <w:abstractNumId w:val="0"/>
  </w:num>
  <w:num w:numId="3" w16cid:durableId="712463276">
    <w:abstractNumId w:val="1"/>
  </w:num>
  <w:num w:numId="4" w16cid:durableId="1054549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D3"/>
    <w:rsid w:val="00067F2C"/>
    <w:rsid w:val="000F78D3"/>
    <w:rsid w:val="00166F04"/>
    <w:rsid w:val="003C32AA"/>
    <w:rsid w:val="00410599"/>
    <w:rsid w:val="004A3633"/>
    <w:rsid w:val="005C68F5"/>
    <w:rsid w:val="00623537"/>
    <w:rsid w:val="00666322"/>
    <w:rsid w:val="00743BA2"/>
    <w:rsid w:val="00771DED"/>
    <w:rsid w:val="007D09D2"/>
    <w:rsid w:val="00A16935"/>
    <w:rsid w:val="00CB688B"/>
    <w:rsid w:val="00D23BFA"/>
    <w:rsid w:val="00E15164"/>
    <w:rsid w:val="00EC3647"/>
    <w:rsid w:val="00E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6092"/>
  <w15:chartTrackingRefBased/>
  <w15:docId w15:val="{EF6628B1-3C65-46B9-BA89-73301FA1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63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3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Petr Frömel</cp:lastModifiedBy>
  <cp:revision>2</cp:revision>
  <dcterms:created xsi:type="dcterms:W3CDTF">2022-12-01T13:26:00Z</dcterms:created>
  <dcterms:modified xsi:type="dcterms:W3CDTF">2023-10-17T10:08:00Z</dcterms:modified>
</cp:coreProperties>
</file>