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F6" w:rsidRPr="001032F6" w:rsidRDefault="001032F6" w:rsidP="001032F6">
      <w:pPr>
        <w:pStyle w:val="nadpis-bod"/>
        <w:spacing w:before="0" w:after="0"/>
        <w:rPr>
          <w:rFonts w:asciiTheme="minorHAnsi" w:hAnsiTheme="minorHAnsi"/>
          <w:sz w:val="22"/>
        </w:rPr>
      </w:pPr>
      <w:r w:rsidRPr="001032F6">
        <w:rPr>
          <w:rFonts w:asciiTheme="minorHAnsi" w:hAnsiTheme="minorHAnsi"/>
          <w:i/>
          <w:sz w:val="22"/>
        </w:rPr>
        <w:t xml:space="preserve">příloha č. </w:t>
      </w:r>
      <w:r>
        <w:rPr>
          <w:rFonts w:asciiTheme="minorHAnsi" w:hAnsiTheme="minorHAnsi"/>
          <w:i/>
          <w:sz w:val="22"/>
        </w:rPr>
        <w:t>2</w:t>
      </w:r>
    </w:p>
    <w:p w:rsidR="00801E86" w:rsidRPr="00825BB0" w:rsidRDefault="002E2600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KUPNÍ SMLOUVA</w:t>
      </w:r>
    </w:p>
    <w:p w:rsidR="00AF7AD9" w:rsidRPr="00D477AE" w:rsidRDefault="00AF7AD9" w:rsidP="001032F6">
      <w:pPr>
        <w:pStyle w:val="nadpis-smlouva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- Návrh</w:t>
      </w:r>
    </w:p>
    <w:p w:rsidR="00AF7AD9" w:rsidRDefault="00801E86" w:rsidP="00801E86">
      <w:pPr>
        <w:jc w:val="center"/>
      </w:pPr>
      <w:r w:rsidRPr="00BC613E">
        <w:t xml:space="preserve"> </w:t>
      </w:r>
    </w:p>
    <w:p w:rsidR="00801E86" w:rsidRPr="00BC613E" w:rsidRDefault="00F836C6" w:rsidP="00801E86">
      <w:pPr>
        <w:jc w:val="center"/>
        <w:rPr>
          <w:rFonts w:cs="Arial"/>
        </w:rPr>
      </w:pPr>
      <w:r>
        <w:rPr>
          <w:rFonts w:cs="Arial"/>
        </w:rPr>
        <w:t>uzavř</w:t>
      </w:r>
      <w:r w:rsidR="00103F74">
        <w:rPr>
          <w:rFonts w:cs="Arial"/>
        </w:rPr>
        <w:t xml:space="preserve">ená </w:t>
      </w:r>
      <w:r w:rsidR="002E2600">
        <w:rPr>
          <w:rFonts w:cs="Arial"/>
        </w:rPr>
        <w:t>dle ustanovení § 2079</w:t>
      </w:r>
      <w:r w:rsidR="00801E86" w:rsidRPr="00BC613E">
        <w:rPr>
          <w:rFonts w:cs="Arial"/>
        </w:rPr>
        <w:t xml:space="preserve"> a násl. zák. č. 89/2012 Sb., občanský zákoník</w:t>
      </w:r>
    </w:p>
    <w:p w:rsidR="00801E86" w:rsidRDefault="00801E86" w:rsidP="00801E86">
      <w:pPr>
        <w:jc w:val="center"/>
        <w:rPr>
          <w:rFonts w:cs="Arial"/>
        </w:rPr>
      </w:pPr>
    </w:p>
    <w:p w:rsidR="00801E86" w:rsidRPr="005C29C5" w:rsidRDefault="00AF7AD9" w:rsidP="00AF7AD9">
      <w:pPr>
        <w:pStyle w:val="nadpis-bod"/>
        <w:spacing w:before="240" w:after="240"/>
        <w:jc w:val="center"/>
        <w:rPr>
          <w:rFonts w:asciiTheme="minorHAnsi" w:hAnsiTheme="minorHAnsi"/>
          <w:sz w:val="22"/>
        </w:rPr>
      </w:pPr>
      <w:r w:rsidRPr="005C29C5">
        <w:rPr>
          <w:rFonts w:asciiTheme="minorHAnsi" w:hAnsiTheme="minorHAnsi"/>
          <w:sz w:val="22"/>
        </w:rPr>
        <w:t xml:space="preserve">I. </w:t>
      </w:r>
      <w:r w:rsidR="00801E86" w:rsidRPr="005C29C5">
        <w:rPr>
          <w:rFonts w:asciiTheme="minorHAnsi" w:hAnsiTheme="minorHAnsi"/>
          <w:sz w:val="22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567"/>
        <w:gridCol w:w="5418"/>
        <w:gridCol w:w="142"/>
      </w:tblGrid>
      <w:tr w:rsidR="00801E86" w:rsidRPr="00BC613E" w:rsidTr="00B96695">
        <w:trPr>
          <w:gridAfter w:val="1"/>
          <w:wAfter w:w="142" w:type="dxa"/>
        </w:trPr>
        <w:tc>
          <w:tcPr>
            <w:tcW w:w="3227" w:type="dxa"/>
          </w:tcPr>
          <w:p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801E86" w:rsidRPr="00BC613E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646DC7" w:rsidRPr="00BC613E" w:rsidTr="008A65C5">
        <w:tc>
          <w:tcPr>
            <w:tcW w:w="9354" w:type="dxa"/>
            <w:gridSpan w:val="4"/>
          </w:tcPr>
          <w:p w:rsidR="00646DC7" w:rsidRPr="00AF0833" w:rsidRDefault="00E131B4" w:rsidP="00B96695">
            <w:pPr>
              <w:spacing w:line="276" w:lineRule="auto"/>
              <w:rPr>
                <w:rFonts w:cs="Arial"/>
                <w:b/>
              </w:rPr>
            </w:pPr>
            <w:r w:rsidRPr="00920A2C">
              <w:rPr>
                <w:rStyle w:val="tsubjname"/>
                <w:rFonts w:cstheme="minorHAnsi"/>
                <w:b/>
              </w:rPr>
              <w:t>Základní škola a Mateřská škola Kpt. Otakara Jaroše Louny, 28. října 2173, příspěvková organizace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560" w:type="dxa"/>
            <w:gridSpan w:val="2"/>
          </w:tcPr>
          <w:p w:rsidR="00801E86" w:rsidRPr="00093309" w:rsidRDefault="00E131B4" w:rsidP="00B96695">
            <w:pPr>
              <w:spacing w:line="276" w:lineRule="auto"/>
              <w:rPr>
                <w:rFonts w:cstheme="minorHAnsi"/>
              </w:rPr>
            </w:pPr>
            <w:r w:rsidRPr="00920A2C">
              <w:rPr>
                <w:rFonts w:cstheme="minorHAnsi"/>
              </w:rPr>
              <w:t>28. října 2173, 440 01 Louny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560" w:type="dxa"/>
            <w:gridSpan w:val="2"/>
          </w:tcPr>
          <w:p w:rsidR="00801E86" w:rsidRPr="00093309" w:rsidRDefault="00E131B4" w:rsidP="00E17613">
            <w:pPr>
              <w:pStyle w:val="pole"/>
              <w:spacing w:line="276" w:lineRule="auto"/>
              <w:rPr>
                <w:rFonts w:asciiTheme="minorHAnsi" w:hAnsiTheme="minorHAnsi" w:cstheme="minorHAnsi"/>
              </w:rPr>
            </w:pPr>
            <w:r w:rsidRPr="00920A2C">
              <w:rPr>
                <w:rFonts w:asciiTheme="minorHAnsi" w:hAnsiTheme="minorHAnsi" w:cstheme="minorHAnsi"/>
              </w:rPr>
              <w:t>Mgr. Vlastimil Lisse, ředitel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560" w:type="dxa"/>
            <w:gridSpan w:val="2"/>
          </w:tcPr>
          <w:p w:rsidR="00801E86" w:rsidRPr="00BC613E" w:rsidRDefault="00E131B4" w:rsidP="00B96695">
            <w:pPr>
              <w:spacing w:line="276" w:lineRule="auto"/>
              <w:rPr>
                <w:rFonts w:cs="Arial"/>
              </w:rPr>
            </w:pPr>
            <w:r w:rsidRPr="00920A2C">
              <w:rPr>
                <w:rFonts w:cstheme="minorHAnsi"/>
              </w:rPr>
              <w:t>49123866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560" w:type="dxa"/>
            <w:gridSpan w:val="2"/>
          </w:tcPr>
          <w:p w:rsidR="00801E86" w:rsidRPr="00BC613E" w:rsidRDefault="00093309" w:rsidP="00B9669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neplátce DPH</w:t>
            </w:r>
          </w:p>
        </w:tc>
      </w:tr>
      <w:tr w:rsidR="005C096F" w:rsidRPr="00BC613E" w:rsidTr="00AF7AD9">
        <w:tc>
          <w:tcPr>
            <w:tcW w:w="3794" w:type="dxa"/>
            <w:gridSpan w:val="2"/>
          </w:tcPr>
          <w:p w:rsidR="005C096F" w:rsidRPr="00BC613E" w:rsidRDefault="005C096F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560" w:type="dxa"/>
            <w:gridSpan w:val="2"/>
          </w:tcPr>
          <w:p w:rsidR="005C096F" w:rsidRDefault="00E131B4" w:rsidP="00B9669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Komerční banka</w:t>
            </w:r>
            <w:r w:rsidR="00093309">
              <w:rPr>
                <w:rFonts w:cs="Arial"/>
              </w:rPr>
              <w:t>, a.s.</w:t>
            </w:r>
          </w:p>
        </w:tc>
      </w:tr>
      <w:tr w:rsidR="005C096F" w:rsidRPr="00BC613E" w:rsidTr="00AF7AD9">
        <w:tc>
          <w:tcPr>
            <w:tcW w:w="3794" w:type="dxa"/>
            <w:gridSpan w:val="2"/>
          </w:tcPr>
          <w:p w:rsidR="005C096F" w:rsidRDefault="005C096F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560" w:type="dxa"/>
            <w:gridSpan w:val="2"/>
          </w:tcPr>
          <w:p w:rsidR="005C096F" w:rsidRDefault="00E131B4" w:rsidP="00B96695">
            <w:pPr>
              <w:spacing w:line="276" w:lineRule="auto"/>
              <w:rPr>
                <w:rFonts w:cs="Arial"/>
              </w:rPr>
            </w:pPr>
            <w:r>
              <w:t>16133481/0100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5C096F" w:rsidP="00AF7AD9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</w:t>
            </w:r>
            <w:r w:rsidR="00AF7AD9">
              <w:rPr>
                <w:rFonts w:asciiTheme="minorHAnsi" w:hAnsiTheme="minorHAnsi" w:cs="Arial"/>
                <w:b w:val="0"/>
              </w:rPr>
              <w:t xml:space="preserve"> ve věcech technických</w:t>
            </w:r>
            <w:r w:rsidR="00801E86"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801E86" w:rsidRPr="00BC613E" w:rsidRDefault="00E131B4" w:rsidP="00B96695">
            <w:pPr>
              <w:spacing w:line="276" w:lineRule="auto"/>
              <w:rPr>
                <w:rFonts w:cs="Arial"/>
              </w:rPr>
            </w:pPr>
            <w:r w:rsidRPr="00920A2C">
              <w:rPr>
                <w:rFonts w:cstheme="minorHAnsi"/>
              </w:rPr>
              <w:t>Mgr. Vlastimil Lisse, ředitel</w:t>
            </w:r>
          </w:p>
        </w:tc>
      </w:tr>
      <w:tr w:rsidR="00AF7AD9" w:rsidRPr="00BC613E" w:rsidTr="00AF7AD9">
        <w:tc>
          <w:tcPr>
            <w:tcW w:w="3794" w:type="dxa"/>
            <w:gridSpan w:val="2"/>
          </w:tcPr>
          <w:p w:rsidR="00AF7AD9" w:rsidRDefault="00AF7AD9" w:rsidP="00AF7AD9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  <w:gridSpan w:val="2"/>
          </w:tcPr>
          <w:p w:rsidR="00AF7AD9" w:rsidRDefault="00E131B4" w:rsidP="00AF0833">
            <w:pPr>
              <w:spacing w:line="276" w:lineRule="auto"/>
              <w:rPr>
                <w:rFonts w:cs="Arial"/>
              </w:rPr>
            </w:pPr>
            <w:r w:rsidRPr="006D13E1">
              <w:rPr>
                <w:rFonts w:cstheme="minorHAnsi"/>
              </w:rPr>
              <w:t>+420</w:t>
            </w:r>
            <w:r>
              <w:rPr>
                <w:rFonts w:cstheme="minorHAnsi"/>
              </w:rPr>
              <w:t> 415 65</w:t>
            </w:r>
            <w:r w:rsidRPr="00920A2C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1</w:t>
            </w:r>
            <w:r w:rsidRPr="00920A2C">
              <w:rPr>
                <w:rFonts w:cstheme="minorHAnsi"/>
              </w:rPr>
              <w:t>38</w:t>
            </w:r>
          </w:p>
        </w:tc>
      </w:tr>
      <w:tr w:rsidR="00AF7AD9" w:rsidRPr="00BC613E" w:rsidTr="00AF7AD9">
        <w:tc>
          <w:tcPr>
            <w:tcW w:w="3794" w:type="dxa"/>
            <w:gridSpan w:val="2"/>
          </w:tcPr>
          <w:p w:rsidR="00AF7AD9" w:rsidRDefault="00AF7AD9" w:rsidP="00AF7AD9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  <w:gridSpan w:val="2"/>
          </w:tcPr>
          <w:p w:rsidR="00AF7AD9" w:rsidRPr="00C46749" w:rsidRDefault="002465B0" w:rsidP="00646DC7">
            <w:pPr>
              <w:rPr>
                <w:rFonts w:cs="Arial"/>
              </w:rPr>
            </w:pPr>
            <w:hyperlink r:id="rId8" w:history="1">
              <w:r w:rsidR="00E131B4" w:rsidRPr="008C6EC7">
                <w:rPr>
                  <w:rStyle w:val="Hypertextovodkaz"/>
                  <w:rFonts w:cstheme="minorHAnsi"/>
                  <w:color w:val="auto"/>
                  <w:u w:val="none"/>
                </w:rPr>
                <w:t>3zslouny@3zslouny.cz</w:t>
              </w:r>
            </w:hyperlink>
          </w:p>
        </w:tc>
      </w:tr>
      <w:tr w:rsidR="002E2600" w:rsidRPr="00BC613E" w:rsidTr="00F646FF">
        <w:tc>
          <w:tcPr>
            <w:tcW w:w="9354" w:type="dxa"/>
            <w:gridSpan w:val="4"/>
          </w:tcPr>
          <w:p w:rsidR="002E2600" w:rsidRPr="002E2600" w:rsidRDefault="002E2600" w:rsidP="004F2847">
            <w:pPr>
              <w:spacing w:line="276" w:lineRule="auto"/>
              <w:rPr>
                <w:rFonts w:cs="Arial"/>
                <w:i/>
              </w:rPr>
            </w:pPr>
            <w:r w:rsidRPr="00BC613E">
              <w:rPr>
                <w:rFonts w:cs="Arial"/>
                <w:i/>
              </w:rPr>
              <w:t xml:space="preserve"> 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 w:rsidR="004F2847"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:rsidR="00AF7AD9" w:rsidRDefault="00AF7AD9" w:rsidP="005C096F">
      <w:pPr>
        <w:rPr>
          <w:rFonts w:cs="Arial"/>
        </w:rPr>
      </w:pPr>
    </w:p>
    <w:p w:rsidR="00801E86" w:rsidRDefault="00AF7AD9" w:rsidP="005C096F">
      <w:pPr>
        <w:rPr>
          <w:rFonts w:cs="Arial"/>
        </w:rPr>
      </w:pPr>
      <w:r>
        <w:rPr>
          <w:rFonts w:cs="Arial"/>
        </w:rPr>
        <w:t>a</w:t>
      </w:r>
    </w:p>
    <w:p w:rsidR="00AF7AD9" w:rsidRPr="00BC613E" w:rsidRDefault="00AF7AD9" w:rsidP="005C096F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801E86" w:rsidRPr="00BC613E" w:rsidTr="00AF7AD9">
        <w:tc>
          <w:tcPr>
            <w:tcW w:w="3794" w:type="dxa"/>
          </w:tcPr>
          <w:p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</w:t>
            </w:r>
            <w:r w:rsidR="00D477AE">
              <w:rPr>
                <w:rFonts w:cs="Arial"/>
                <w:b/>
              </w:rPr>
              <w:t>:</w:t>
            </w:r>
          </w:p>
        </w:tc>
        <w:tc>
          <w:tcPr>
            <w:tcW w:w="5418" w:type="dxa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</w:rPr>
            </w:pP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</w:rPr>
            </w:pPr>
            <w:r w:rsidRPr="009E0858">
              <w:rPr>
                <w:rFonts w:asciiTheme="minorHAnsi" w:hAnsiTheme="minorHAnsi" w:cs="Arial"/>
                <w:highlight w:val="yellow"/>
              </w:rPr>
              <w:t>…</w:t>
            </w:r>
          </w:p>
        </w:tc>
        <w:tc>
          <w:tcPr>
            <w:tcW w:w="5418" w:type="dxa"/>
          </w:tcPr>
          <w:p w:rsidR="00646DC7" w:rsidRPr="00BC613E" w:rsidRDefault="00646DC7" w:rsidP="002D1D8C">
            <w:pPr>
              <w:spacing w:line="276" w:lineRule="auto"/>
              <w:rPr>
                <w:rFonts w:cs="Arial"/>
              </w:rPr>
            </w:pP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:rsidR="00646DC7" w:rsidRPr="00BC613E" w:rsidRDefault="00646DC7" w:rsidP="002D1D8C">
            <w:pPr>
              <w:spacing w:line="276" w:lineRule="auto"/>
              <w:rPr>
                <w:rFonts w:cs="Arial"/>
              </w:rPr>
            </w:pPr>
            <w:r w:rsidRPr="009E0858">
              <w:rPr>
                <w:rFonts w:cs="Arial"/>
                <w:highlight w:val="yellow"/>
              </w:rPr>
              <w:t>…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:rsidR="00646DC7" w:rsidRPr="00BC613E" w:rsidRDefault="00646DC7" w:rsidP="002D1D8C">
            <w:pPr>
              <w:pStyle w:val="pole"/>
              <w:spacing w:line="276" w:lineRule="auto"/>
              <w:rPr>
                <w:rFonts w:asciiTheme="minorHAnsi" w:hAnsiTheme="minorHAnsi" w:cs="Arial"/>
              </w:rPr>
            </w:pPr>
            <w:r w:rsidRPr="009E0858">
              <w:rPr>
                <w:rFonts w:asciiTheme="minorHAnsi" w:hAnsiTheme="minorHAnsi" w:cs="Arial"/>
                <w:highlight w:val="yellow"/>
              </w:rPr>
              <w:t>…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:rsidR="00646DC7" w:rsidRPr="00BC613E" w:rsidRDefault="00646DC7" w:rsidP="002D1D8C">
            <w:pPr>
              <w:spacing w:line="276" w:lineRule="auto"/>
              <w:rPr>
                <w:rFonts w:cs="Arial"/>
              </w:rPr>
            </w:pPr>
            <w:r w:rsidRPr="009E0858">
              <w:rPr>
                <w:rFonts w:cs="Arial"/>
                <w:highlight w:val="yellow"/>
              </w:rPr>
              <w:t>…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:rsidR="00646DC7" w:rsidRPr="00BC613E" w:rsidRDefault="00646DC7" w:rsidP="002D1D8C">
            <w:pPr>
              <w:spacing w:line="276" w:lineRule="auto"/>
              <w:rPr>
                <w:rFonts w:cs="Arial"/>
              </w:rPr>
            </w:pPr>
            <w:r w:rsidRPr="009E0858">
              <w:rPr>
                <w:rFonts w:cs="Arial"/>
                <w:highlight w:val="yellow"/>
              </w:rPr>
              <w:t>…</w:t>
            </w:r>
          </w:p>
        </w:tc>
      </w:tr>
      <w:tr w:rsidR="005C096F" w:rsidRPr="00BC613E" w:rsidTr="00AF7AD9">
        <w:tc>
          <w:tcPr>
            <w:tcW w:w="3794" w:type="dxa"/>
          </w:tcPr>
          <w:p w:rsidR="005C096F" w:rsidRPr="00BC613E" w:rsidRDefault="005C096F" w:rsidP="008301C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418" w:type="dxa"/>
          </w:tcPr>
          <w:p w:rsidR="005C096F" w:rsidRPr="00BC613E" w:rsidRDefault="005C096F" w:rsidP="008301C7">
            <w:pPr>
              <w:spacing w:line="276" w:lineRule="auto"/>
              <w:rPr>
                <w:rFonts w:cs="Arial"/>
              </w:rPr>
            </w:pPr>
            <w:r w:rsidRPr="009E0858">
              <w:rPr>
                <w:rFonts w:cs="Arial"/>
                <w:highlight w:val="yellow"/>
              </w:rPr>
              <w:t>…</w:t>
            </w:r>
          </w:p>
        </w:tc>
      </w:tr>
      <w:tr w:rsidR="005C096F" w:rsidRPr="00BC613E" w:rsidTr="00AF7AD9">
        <w:tc>
          <w:tcPr>
            <w:tcW w:w="3794" w:type="dxa"/>
          </w:tcPr>
          <w:p w:rsidR="005C096F" w:rsidRDefault="005C096F" w:rsidP="008301C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418" w:type="dxa"/>
          </w:tcPr>
          <w:p w:rsidR="005C096F" w:rsidRPr="00BC613E" w:rsidRDefault="005C096F" w:rsidP="008301C7">
            <w:pPr>
              <w:pStyle w:val="pole"/>
              <w:spacing w:line="276" w:lineRule="auto"/>
              <w:rPr>
                <w:rFonts w:asciiTheme="minorHAnsi" w:hAnsiTheme="minorHAnsi" w:cs="Arial"/>
              </w:rPr>
            </w:pPr>
            <w:r w:rsidRPr="009E0858">
              <w:rPr>
                <w:rFonts w:asciiTheme="minorHAnsi" w:hAnsiTheme="minorHAnsi" w:cs="Arial"/>
                <w:highlight w:val="yellow"/>
              </w:rPr>
              <w:t>…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5C096F" w:rsidP="002D1D8C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</w:t>
            </w:r>
            <w:r w:rsidR="00646DC7">
              <w:rPr>
                <w:rFonts w:asciiTheme="minorHAnsi" w:hAnsiTheme="minorHAnsi" w:cs="Arial"/>
                <w:b w:val="0"/>
              </w:rPr>
              <w:t xml:space="preserve"> ve věcech technických</w:t>
            </w:r>
            <w:r w:rsidR="00646DC7"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646DC7" w:rsidRPr="00BC613E" w:rsidRDefault="00646DC7" w:rsidP="002D1D8C">
            <w:pPr>
              <w:spacing w:line="276" w:lineRule="auto"/>
              <w:rPr>
                <w:rFonts w:cs="Arial"/>
              </w:rPr>
            </w:pPr>
            <w:r w:rsidRPr="009E0858">
              <w:rPr>
                <w:rFonts w:cs="Arial"/>
                <w:highlight w:val="yellow"/>
              </w:rPr>
              <w:t>…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Default="00646DC7" w:rsidP="002D1D8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:rsidR="00646DC7" w:rsidRDefault="00646DC7" w:rsidP="002D1D8C">
            <w:pPr>
              <w:spacing w:line="276" w:lineRule="auto"/>
              <w:rPr>
                <w:rFonts w:cs="Arial"/>
              </w:rPr>
            </w:pPr>
            <w:r w:rsidRPr="009E0858">
              <w:rPr>
                <w:rFonts w:cs="Arial"/>
                <w:highlight w:val="yellow"/>
              </w:rPr>
              <w:t>…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Default="00646DC7" w:rsidP="002D1D8C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:rsidR="00646DC7" w:rsidRDefault="00646DC7" w:rsidP="002D1D8C">
            <w:pPr>
              <w:spacing w:line="276" w:lineRule="auto"/>
              <w:rPr>
                <w:rFonts w:cs="Arial"/>
              </w:rPr>
            </w:pPr>
            <w:r w:rsidRPr="009E0858">
              <w:rPr>
                <w:rFonts w:cs="Arial"/>
                <w:highlight w:val="yellow"/>
              </w:rPr>
              <w:t>…</w:t>
            </w:r>
          </w:p>
        </w:tc>
      </w:tr>
      <w:tr w:rsidR="00801E86" w:rsidRPr="00BC613E" w:rsidTr="00B96695">
        <w:tc>
          <w:tcPr>
            <w:tcW w:w="9212" w:type="dxa"/>
            <w:gridSpan w:val="2"/>
          </w:tcPr>
          <w:p w:rsidR="00801E86" w:rsidRPr="00BC613E" w:rsidRDefault="00801E86" w:rsidP="00646DC7">
            <w:pPr>
              <w:pStyle w:val="pole"/>
              <w:tabs>
                <w:tab w:val="clear" w:pos="1701"/>
                <w:tab w:val="left" w:pos="0"/>
              </w:tabs>
              <w:spacing w:line="276" w:lineRule="auto"/>
              <w:ind w:left="0" w:firstLine="0"/>
              <w:jc w:val="both"/>
              <w:rPr>
                <w:rFonts w:asciiTheme="minorHAnsi" w:hAnsiTheme="minorHAnsi" w:cs="Arial"/>
              </w:rPr>
            </w:pPr>
            <w:r w:rsidRPr="00BC613E">
              <w:rPr>
                <w:rFonts w:asciiTheme="minorHAnsi" w:hAnsiTheme="minorHAnsi" w:cs="Arial"/>
              </w:rPr>
              <w:t xml:space="preserve">zapsán v obchodním rejstříku </w:t>
            </w:r>
            <w:r w:rsidRPr="00A526DF">
              <w:rPr>
                <w:rFonts w:asciiTheme="minorHAnsi" w:hAnsiTheme="minorHAnsi" w:cstheme="minorHAnsi"/>
              </w:rPr>
              <w:t xml:space="preserve">u </w:t>
            </w:r>
            <w:r w:rsidR="00646DC7" w:rsidRPr="00A526DF">
              <w:rPr>
                <w:rFonts w:asciiTheme="minorHAnsi" w:hAnsiTheme="minorHAnsi" w:cstheme="minorHAnsi"/>
                <w:highlight w:val="yellow"/>
              </w:rPr>
              <w:t>…</w:t>
            </w:r>
            <w:r w:rsidR="00646DC7" w:rsidRPr="00A526DF">
              <w:rPr>
                <w:rFonts w:asciiTheme="minorHAnsi" w:hAnsiTheme="minorHAnsi" w:cstheme="minorHAnsi"/>
              </w:rPr>
              <w:t xml:space="preserve">, oddíl </w:t>
            </w:r>
            <w:r w:rsidR="00646DC7" w:rsidRPr="00A526DF">
              <w:rPr>
                <w:rFonts w:asciiTheme="minorHAnsi" w:hAnsiTheme="minorHAnsi" w:cstheme="minorHAnsi"/>
                <w:highlight w:val="yellow"/>
              </w:rPr>
              <w:t>…</w:t>
            </w:r>
            <w:r w:rsidRPr="00A526DF">
              <w:rPr>
                <w:rFonts w:asciiTheme="minorHAnsi" w:hAnsiTheme="minorHAnsi" w:cstheme="minorHAnsi"/>
              </w:rPr>
              <w:t xml:space="preserve">, vložka </w:t>
            </w:r>
            <w:r w:rsidR="00646DC7" w:rsidRPr="00A526DF">
              <w:rPr>
                <w:rFonts w:asciiTheme="minorHAnsi" w:hAnsiTheme="minorHAnsi" w:cstheme="minorHAnsi"/>
                <w:highlight w:val="yellow"/>
              </w:rPr>
              <w:t>…</w:t>
            </w:r>
            <w:r w:rsidRPr="00BC613E">
              <w:rPr>
                <w:rFonts w:asciiTheme="minorHAnsi" w:hAnsiTheme="minorHAnsi" w:cs="Arial"/>
              </w:rPr>
              <w:t xml:space="preserve">  </w:t>
            </w:r>
          </w:p>
        </w:tc>
      </w:tr>
      <w:tr w:rsidR="002E2600" w:rsidRPr="00BC613E" w:rsidTr="00BD1D4B">
        <w:tc>
          <w:tcPr>
            <w:tcW w:w="9212" w:type="dxa"/>
            <w:gridSpan w:val="2"/>
          </w:tcPr>
          <w:p w:rsidR="002E2600" w:rsidRPr="002E2600" w:rsidRDefault="002E2600" w:rsidP="00B96695">
            <w:pPr>
              <w:spacing w:line="276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zCs w:val="20"/>
              </w:rPr>
              <w:t>prodávající</w:t>
            </w:r>
            <w:r w:rsidRPr="002E2600">
              <w:rPr>
                <w:rFonts w:cstheme="minorHAnsi"/>
                <w:i/>
                <w:szCs w:val="20"/>
              </w:rPr>
              <w:t>“ (rovněž „dodavatel“)</w:t>
            </w:r>
          </w:p>
        </w:tc>
      </w:tr>
    </w:tbl>
    <w:p w:rsidR="00AF7AD9" w:rsidRDefault="00AF7AD9" w:rsidP="00AF7AD9">
      <w:pPr>
        <w:jc w:val="center"/>
        <w:rPr>
          <w:rFonts w:cs="Arial"/>
        </w:rPr>
      </w:pPr>
    </w:p>
    <w:p w:rsidR="005C096F" w:rsidRDefault="005C096F" w:rsidP="00AF7AD9">
      <w:pPr>
        <w:jc w:val="center"/>
        <w:rPr>
          <w:rFonts w:cs="Arial"/>
        </w:rPr>
      </w:pPr>
    </w:p>
    <w:p w:rsidR="00801E86" w:rsidRDefault="00801E86" w:rsidP="00AF7AD9">
      <w:pPr>
        <w:jc w:val="center"/>
        <w:rPr>
          <w:rFonts w:cs="Arial"/>
        </w:rPr>
      </w:pPr>
      <w:r w:rsidRPr="00BC613E">
        <w:rPr>
          <w:rFonts w:cs="Arial"/>
        </w:rPr>
        <w:t>uzavírají níže uvedeného dne, měsíce a roku tuto</w:t>
      </w:r>
    </w:p>
    <w:p w:rsidR="005C096F" w:rsidRDefault="005C096F" w:rsidP="00AF7AD9">
      <w:pPr>
        <w:jc w:val="center"/>
        <w:rPr>
          <w:rFonts w:cs="Arial"/>
        </w:rPr>
      </w:pPr>
    </w:p>
    <w:p w:rsidR="005C096F" w:rsidRPr="00BC613E" w:rsidRDefault="005C096F" w:rsidP="00AF7AD9">
      <w:pPr>
        <w:jc w:val="center"/>
        <w:rPr>
          <w:rFonts w:cs="Arial"/>
        </w:rPr>
      </w:pPr>
    </w:p>
    <w:p w:rsidR="00801E86" w:rsidRPr="005C096F" w:rsidRDefault="002E2600" w:rsidP="00801E86">
      <w:pPr>
        <w:pStyle w:val="nadpis-smlouva"/>
        <w:rPr>
          <w:rFonts w:asciiTheme="minorHAnsi" w:hAnsiTheme="minorHAnsi"/>
          <w:caps w:val="0"/>
        </w:rPr>
      </w:pPr>
      <w:r>
        <w:rPr>
          <w:rFonts w:asciiTheme="minorHAnsi" w:hAnsiTheme="minorHAnsi"/>
        </w:rPr>
        <w:t>KUPNÍ SMLOUVU</w:t>
      </w:r>
    </w:p>
    <w:p w:rsidR="005C096F" w:rsidRDefault="00BE76E8" w:rsidP="005C096F">
      <w:pPr>
        <w:jc w:val="center"/>
        <w:rPr>
          <w:rFonts w:cs="Arial"/>
          <w:b/>
        </w:rPr>
      </w:pPr>
      <w:r>
        <w:rPr>
          <w:rFonts w:cs="Arial"/>
          <w:b/>
        </w:rPr>
        <w:t>(dále jen „smlouva“)</w:t>
      </w:r>
    </w:p>
    <w:p w:rsidR="00801E86" w:rsidRPr="00BC613E" w:rsidRDefault="005C096F" w:rsidP="005C096F">
      <w:pPr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AF7AD9">
        <w:rPr>
          <w:rFonts w:cs="Arial"/>
          <w:b/>
        </w:rPr>
        <w:lastRenderedPageBreak/>
        <w:t>I</w:t>
      </w:r>
      <w:r w:rsidR="00801E86" w:rsidRPr="00BC613E">
        <w:rPr>
          <w:rFonts w:cs="Arial"/>
          <w:b/>
        </w:rPr>
        <w:t>I.</w:t>
      </w:r>
      <w:r w:rsidR="00AF7AD9">
        <w:rPr>
          <w:rFonts w:cs="Arial"/>
          <w:b/>
        </w:rPr>
        <w:t xml:space="preserve"> </w:t>
      </w:r>
      <w:r w:rsidR="00801E86" w:rsidRPr="00BC613E">
        <w:rPr>
          <w:rFonts w:cs="Arial"/>
          <w:b/>
        </w:rPr>
        <w:t>Předmět plnění a účel smlouvy</w:t>
      </w:r>
    </w:p>
    <w:p w:rsidR="009E0858" w:rsidRDefault="002E2600" w:rsidP="009E0858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cs="Arial"/>
          <w:iCs/>
        </w:rPr>
      </w:pPr>
      <w:r>
        <w:rPr>
          <w:rFonts w:cs="Arial"/>
          <w:iCs/>
        </w:rPr>
        <w:t>Prodávající</w:t>
      </w:r>
      <w:r w:rsidR="00801E86" w:rsidRPr="00D477AE">
        <w:rPr>
          <w:rFonts w:cs="Arial"/>
          <w:iCs/>
        </w:rPr>
        <w:t xml:space="preserve"> se touto smlouvou zavazuje </w:t>
      </w:r>
      <w:r>
        <w:rPr>
          <w:rFonts w:cs="Arial"/>
          <w:iCs/>
        </w:rPr>
        <w:t xml:space="preserve">k plnění na základě výsledku </w:t>
      </w:r>
      <w:r w:rsidR="00C1007A">
        <w:rPr>
          <w:rFonts w:cstheme="minorHAnsi"/>
        </w:rPr>
        <w:t>zadávací</w:t>
      </w:r>
      <w:r>
        <w:rPr>
          <w:rFonts w:cs="Arial"/>
          <w:iCs/>
        </w:rPr>
        <w:t>ho řízení v souvislosti s realizovaným projektem kupujícího</w:t>
      </w:r>
      <w:r w:rsidR="009E0858">
        <w:rPr>
          <w:rFonts w:cs="Arial"/>
          <w:iCs/>
        </w:rPr>
        <w:t>:</w:t>
      </w:r>
    </w:p>
    <w:p w:rsidR="009E0858" w:rsidRPr="00E131B4" w:rsidRDefault="002E2600" w:rsidP="006E39DB">
      <w:pPr>
        <w:spacing w:after="120"/>
        <w:ind w:left="567" w:firstLine="2"/>
        <w:contextualSpacing/>
        <w:jc w:val="both"/>
        <w:rPr>
          <w:rFonts w:ascii="Calibri" w:hAnsi="Calibri" w:cs="Arial"/>
          <w:iCs/>
          <w:color w:val="000000"/>
        </w:rPr>
      </w:pPr>
      <w:r w:rsidRPr="00C1007A">
        <w:rPr>
          <w:rFonts w:cs="Arial"/>
          <w:b/>
          <w:i/>
          <w:iCs/>
        </w:rPr>
        <w:t>Název</w:t>
      </w:r>
      <w:r w:rsidR="009E0858" w:rsidRPr="00C1007A">
        <w:rPr>
          <w:rFonts w:cs="Arial"/>
          <w:b/>
          <w:i/>
          <w:iCs/>
        </w:rPr>
        <w:t>:</w:t>
      </w:r>
      <w:r w:rsidR="009E0858" w:rsidRPr="006E39DB">
        <w:rPr>
          <w:rFonts w:cs="Arial"/>
          <w:iCs/>
        </w:rPr>
        <w:t xml:space="preserve"> </w:t>
      </w:r>
      <w:r w:rsidR="00E131B4" w:rsidRPr="00E131B4">
        <w:rPr>
          <w:rStyle w:val="datalabel"/>
          <w:rFonts w:cstheme="minorHAnsi"/>
        </w:rPr>
        <w:t>Učebna fyziky včetně zázemí</w:t>
      </w:r>
    </w:p>
    <w:p w:rsidR="002E2600" w:rsidRPr="006E39DB" w:rsidRDefault="002E2600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 xml:space="preserve">Reg. č.: </w:t>
      </w:r>
      <w:r w:rsidR="006E39DB" w:rsidRPr="006E39DB">
        <w:rPr>
          <w:rFonts w:cstheme="minorHAnsi"/>
        </w:rPr>
        <w:t>CZ.06.2.67/0.0/0.0/1</w:t>
      </w:r>
      <w:r w:rsidR="00E131B4">
        <w:rPr>
          <w:rFonts w:cstheme="minorHAnsi"/>
        </w:rPr>
        <w:t>6_063/0004016</w:t>
      </w:r>
    </w:p>
    <w:p w:rsidR="009E0858" w:rsidRDefault="009E0858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Operační program</w:t>
      </w:r>
      <w:r>
        <w:rPr>
          <w:rFonts w:cs="Arial"/>
          <w:iCs/>
        </w:rPr>
        <w:t>: Integrovaný regionální operační program</w:t>
      </w:r>
    </w:p>
    <w:p w:rsidR="00E17613" w:rsidRPr="00E17613" w:rsidRDefault="006E39DB" w:rsidP="006E39DB">
      <w:pPr>
        <w:ind w:left="567"/>
        <w:jc w:val="both"/>
        <w:rPr>
          <w:rFonts w:eastAsia="Times New Roman" w:cstheme="minorHAnsi"/>
          <w:lang w:eastAsia="cs-CZ"/>
        </w:rPr>
      </w:pPr>
      <w:r w:rsidRPr="00C1007A">
        <w:rPr>
          <w:rFonts w:cs="Arial"/>
          <w:b/>
          <w:i/>
          <w:iCs/>
        </w:rPr>
        <w:t>SC</w:t>
      </w:r>
      <w:r w:rsidR="00E17613" w:rsidRPr="00C1007A">
        <w:rPr>
          <w:rFonts w:cs="Arial"/>
          <w:b/>
          <w:i/>
          <w:iCs/>
        </w:rPr>
        <w:t xml:space="preserve"> IROP:</w:t>
      </w:r>
      <w:r w:rsidR="00E17613" w:rsidRPr="00E17613">
        <w:rPr>
          <w:rFonts w:cs="Arial"/>
          <w:iCs/>
        </w:rPr>
        <w:t xml:space="preserve"> </w:t>
      </w:r>
      <w:r>
        <w:rPr>
          <w:rFonts w:cs="Arial"/>
          <w:iCs/>
        </w:rPr>
        <w:t xml:space="preserve">2.4 </w:t>
      </w:r>
      <w:r>
        <w:t>Zvýšení kvality a dostupnosti infrastruktury pro vzdělávání a celoživotní učení</w:t>
      </w:r>
    </w:p>
    <w:p w:rsidR="00E17613" w:rsidRPr="00E17613" w:rsidRDefault="00E17613" w:rsidP="006E39DB">
      <w:pPr>
        <w:ind w:left="567"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Číslo výzvy IROP:</w:t>
      </w:r>
      <w:r w:rsidRPr="00E17613">
        <w:rPr>
          <w:rFonts w:cs="Arial"/>
          <w:iCs/>
        </w:rPr>
        <w:t xml:space="preserve"> </w:t>
      </w:r>
      <w:r w:rsidR="006E39DB">
        <w:rPr>
          <w:rFonts w:cs="Arial"/>
          <w:iCs/>
        </w:rPr>
        <w:t>47</w:t>
      </w:r>
    </w:p>
    <w:p w:rsidR="00801E86" w:rsidRPr="002E2600" w:rsidRDefault="002E2600" w:rsidP="00D477AE">
      <w:pPr>
        <w:numPr>
          <w:ilvl w:val="0"/>
          <w:numId w:val="6"/>
        </w:numPr>
        <w:contextualSpacing/>
        <w:jc w:val="both"/>
        <w:rPr>
          <w:rFonts w:cs="Arial"/>
          <w:sz w:val="24"/>
        </w:rPr>
      </w:pPr>
      <w:r w:rsidRPr="002E2600">
        <w:rPr>
          <w:rFonts w:cstheme="minorHAnsi"/>
        </w:rPr>
        <w:t xml:space="preserve">Prodávající se touto smlouvou zavazuje, že kupujícímu odevzdá </w:t>
      </w:r>
      <w:r w:rsidRPr="00023943">
        <w:rPr>
          <w:rFonts w:cstheme="minorHAnsi"/>
        </w:rPr>
        <w:t>předmět plnění (viz pod</w:t>
      </w:r>
      <w:r w:rsidR="00185A7D" w:rsidRPr="00023943">
        <w:rPr>
          <w:rFonts w:cstheme="minorHAnsi"/>
        </w:rPr>
        <w:t>robnější specifikace v příloze</w:t>
      </w:r>
      <w:r w:rsidRPr="00023943">
        <w:rPr>
          <w:rFonts w:cstheme="minorHAnsi"/>
        </w:rPr>
        <w:t xml:space="preserve"> smlouvy) a umožní mu nabýt vlastnické práv</w:t>
      </w:r>
      <w:r w:rsidRPr="002E2600">
        <w:rPr>
          <w:rFonts w:cstheme="minorHAnsi"/>
        </w:rPr>
        <w:t xml:space="preserve">o k tomuto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, vč. poskytnutí případné nezbytné součinnosti nezbytné v souvislosti s nabytím vlastnického práva a předání souvisejících dokladů a dokumentů.  Kupující se zavazuje, že uvedený předmět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za stanovených podmínek převezme a zaplatí prodávajícímu dále dohodnutou kupní cenu.</w:t>
      </w:r>
    </w:p>
    <w:p w:rsidR="00801E86" w:rsidRPr="002E2600" w:rsidRDefault="002E2600" w:rsidP="00801E86">
      <w:pPr>
        <w:numPr>
          <w:ilvl w:val="0"/>
          <w:numId w:val="6"/>
        </w:numPr>
        <w:contextualSpacing/>
        <w:jc w:val="both"/>
        <w:rPr>
          <w:rFonts w:cs="Arial"/>
          <w:i/>
          <w:color w:val="0000FF"/>
          <w:sz w:val="24"/>
        </w:rPr>
      </w:pPr>
      <w:r w:rsidRPr="002E2600">
        <w:rPr>
          <w:rFonts w:cstheme="minorHAnsi"/>
        </w:rPr>
        <w:t>Prodávající se zavazuje zajistit dopravu</w:t>
      </w:r>
      <w:r w:rsidR="00065E86">
        <w:rPr>
          <w:rFonts w:cstheme="minorHAnsi"/>
        </w:rPr>
        <w:t>, instalaci, související činnosti (zejm. stavební úpravy</w:t>
      </w:r>
      <w:r w:rsidR="005C29C5">
        <w:rPr>
          <w:rFonts w:cstheme="minorHAnsi"/>
        </w:rPr>
        <w:t xml:space="preserve"> učebny</w:t>
      </w:r>
      <w:r w:rsidR="00065E86">
        <w:rPr>
          <w:rFonts w:cstheme="minorHAnsi"/>
        </w:rPr>
        <w:t>) a následné př</w:t>
      </w:r>
      <w:r w:rsidRPr="002E2600">
        <w:rPr>
          <w:rFonts w:cstheme="minorHAnsi"/>
        </w:rPr>
        <w:t xml:space="preserve">edání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v uvedeném sídle kupujícího. Kupující poskytne nezbytnou součinnost při převzetí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. Náklady na dopravu a další </w:t>
      </w:r>
      <w:r w:rsidR="00065E86" w:rsidRPr="002E2600">
        <w:rPr>
          <w:rFonts w:cstheme="minorHAnsi"/>
        </w:rPr>
        <w:t xml:space="preserve">náklady </w:t>
      </w:r>
      <w:r w:rsidRPr="002E2600">
        <w:rPr>
          <w:rFonts w:cstheme="minorHAnsi"/>
        </w:rPr>
        <w:t>související s předáním plnění jsou zahrnuty do ceny dodávky.</w:t>
      </w:r>
    </w:p>
    <w:p w:rsidR="002E2600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  <w:sz w:val="28"/>
        </w:rPr>
      </w:pPr>
      <w:r w:rsidRPr="000F42E9">
        <w:rPr>
          <w:rFonts w:cstheme="minorHAnsi"/>
        </w:rPr>
        <w:t xml:space="preserve">Kvantitativní a kvalitativní aspekty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jsou uvedeny v přílohách této smlouvy a plně odpovídají zadávacím podkladům </w:t>
      </w:r>
      <w:r w:rsidR="00C1007A">
        <w:rPr>
          <w:rFonts w:cstheme="minorHAnsi"/>
        </w:rPr>
        <w:t>zadávací</w:t>
      </w:r>
      <w:r w:rsidRPr="000F42E9">
        <w:rPr>
          <w:rFonts w:cstheme="minorHAnsi"/>
        </w:rPr>
        <w:t xml:space="preserve">ho řízení provedeného ohledně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v rámci </w:t>
      </w:r>
      <w:r w:rsidR="00C64E62">
        <w:rPr>
          <w:rFonts w:cstheme="minorHAnsi"/>
        </w:rPr>
        <w:t xml:space="preserve">podlimitní </w:t>
      </w:r>
      <w:r w:rsidRPr="000F42E9">
        <w:rPr>
          <w:rFonts w:cstheme="minorHAnsi"/>
        </w:rPr>
        <w:t xml:space="preserve">zakázky kupujícího a nabídce prodávajícího, coby </w:t>
      </w:r>
      <w:r w:rsidR="00217B9E">
        <w:rPr>
          <w:rFonts w:cstheme="minorHAnsi"/>
        </w:rPr>
        <w:t xml:space="preserve">účastníka uvedeného </w:t>
      </w:r>
      <w:r w:rsidR="00C1007A">
        <w:rPr>
          <w:rFonts w:cstheme="minorHAnsi"/>
        </w:rPr>
        <w:t>zadávací</w:t>
      </w:r>
      <w:r w:rsidR="00217B9E">
        <w:rPr>
          <w:rFonts w:cstheme="minorHAnsi"/>
        </w:rPr>
        <w:t>ho</w:t>
      </w:r>
      <w:r w:rsidRPr="000F42E9">
        <w:rPr>
          <w:rFonts w:cstheme="minorHAnsi"/>
        </w:rPr>
        <w:t xml:space="preserve"> řízení. Pro potřeby detailní specifikace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je ke smlouvě přiložena příslušná část zadávacích podkladů (</w:t>
      </w:r>
      <w:r w:rsidR="00133426">
        <w:rPr>
          <w:rFonts w:cstheme="minorHAnsi"/>
        </w:rPr>
        <w:t>tj. oceněný výkaz výměr, resp. položkový rozpočet</w:t>
      </w:r>
      <w:r w:rsidR="00916C92">
        <w:rPr>
          <w:rFonts w:cstheme="minorHAnsi"/>
        </w:rPr>
        <w:t xml:space="preserve">), která obsahuje podrobnou specifikaci předmětu plnění a </w:t>
      </w:r>
      <w:r w:rsidRPr="000F42E9">
        <w:rPr>
          <w:rFonts w:cstheme="minorHAnsi"/>
        </w:rPr>
        <w:t>je nedílnou součástí smlouvy.</w:t>
      </w:r>
    </w:p>
    <w:p w:rsidR="000F42E9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color w:val="000000"/>
        </w:rPr>
        <w:t>Prodávající je povinen dodat kupujícímu zboží podle této smlouvy, při dodržení kvalitativních podmínek</w:t>
      </w:r>
      <w:r w:rsidR="00916C92">
        <w:rPr>
          <w:rFonts w:cstheme="minorHAnsi"/>
          <w:color w:val="000000"/>
        </w:rPr>
        <w:t xml:space="preserve"> </w:t>
      </w:r>
      <w:r w:rsidR="00916C92">
        <w:rPr>
          <w:rFonts w:cstheme="minorHAnsi"/>
        </w:rPr>
        <w:t>vymezených</w:t>
      </w:r>
      <w:r w:rsidRPr="000F42E9">
        <w:rPr>
          <w:rFonts w:cstheme="minorHAnsi"/>
        </w:rPr>
        <w:t xml:space="preserve"> státními normami, právními a dalšími předpisy vztahujícími se ke zboží.</w:t>
      </w:r>
    </w:p>
    <w:p w:rsidR="000F42E9" w:rsidRPr="005C29C5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snapToGrid w:val="0"/>
          <w:color w:val="000000"/>
        </w:rPr>
        <w:t xml:space="preserve">Prodávající prohlašuje, že prověřil veškeré požadavky kupujícího, které obdržel do dne uzavření této smlouvy (vč. požadavků uvedených v zadávacích podmínkách k  </w:t>
      </w:r>
      <w:r w:rsidR="00C1007A">
        <w:rPr>
          <w:rFonts w:cstheme="minorHAnsi"/>
        </w:rPr>
        <w:t>zadávací</w:t>
      </w:r>
      <w:r w:rsidRPr="000F42E9">
        <w:rPr>
          <w:rFonts w:cstheme="minorHAnsi"/>
          <w:snapToGrid w:val="0"/>
          <w:color w:val="000000"/>
        </w:rPr>
        <w:t>mu řízení) a shledal je vhodnými, že sjednaná cena a způsob plnění včetně doby trvání smlouvy obsahuje a zohledňuje všechny výše uvedené podmínky a okolnosti.</w:t>
      </w:r>
    </w:p>
    <w:p w:rsidR="005C29C5" w:rsidRPr="000F42E9" w:rsidRDefault="005C29C5" w:rsidP="005C29C5">
      <w:pPr>
        <w:ind w:left="283"/>
        <w:contextualSpacing/>
        <w:jc w:val="both"/>
        <w:rPr>
          <w:rFonts w:cs="Arial"/>
          <w:color w:val="0000FF"/>
        </w:rPr>
      </w:pPr>
    </w:p>
    <w:p w:rsidR="00801E86" w:rsidRPr="00BC613E" w:rsidRDefault="00801E86" w:rsidP="00B767EF">
      <w:pPr>
        <w:jc w:val="center"/>
        <w:rPr>
          <w:rFonts w:cs="Arial"/>
          <w:b/>
        </w:rPr>
      </w:pPr>
      <w:r w:rsidRPr="00BC613E">
        <w:rPr>
          <w:rFonts w:cs="Arial"/>
          <w:b/>
        </w:rPr>
        <w:t>III.</w:t>
      </w:r>
      <w:r w:rsidR="00B767EF">
        <w:rPr>
          <w:rFonts w:cs="Arial"/>
          <w:b/>
        </w:rPr>
        <w:t xml:space="preserve"> </w:t>
      </w:r>
      <w:r w:rsidR="000F42E9" w:rsidRPr="007128A9">
        <w:rPr>
          <w:rFonts w:cstheme="minorHAnsi"/>
          <w:b/>
          <w:szCs w:val="20"/>
        </w:rPr>
        <w:t>Kupní cena</w:t>
      </w:r>
      <w:r w:rsidR="000F42E9">
        <w:rPr>
          <w:rFonts w:cstheme="minorHAnsi"/>
          <w:b/>
          <w:szCs w:val="20"/>
        </w:rPr>
        <w:t xml:space="preserve">, </w:t>
      </w:r>
      <w:r w:rsidR="000F42E9" w:rsidRPr="007128A9">
        <w:rPr>
          <w:rFonts w:cstheme="minorHAnsi"/>
          <w:b/>
          <w:szCs w:val="20"/>
        </w:rPr>
        <w:t>splatnost</w:t>
      </w:r>
      <w:r w:rsidR="000F42E9">
        <w:rPr>
          <w:rFonts w:cstheme="minorHAnsi"/>
          <w:b/>
          <w:szCs w:val="20"/>
        </w:rPr>
        <w:t>, smluvní sankce a další podmínky</w:t>
      </w:r>
    </w:p>
    <w:p w:rsidR="00402CA9" w:rsidRPr="00402CA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 w:rsidR="00916C92"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 w:rsidR="00916C92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 w:rsidR="00916C92">
        <w:rPr>
          <w:rFonts w:cstheme="minorHAnsi"/>
          <w:szCs w:val="20"/>
        </w:rPr>
        <w:t>ní cenu: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134"/>
        <w:gridCol w:w="1701"/>
        <w:gridCol w:w="1701"/>
      </w:tblGrid>
      <w:tr w:rsidR="00C1007A" w:rsidRPr="00F33CF0" w:rsidTr="00E131B4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A05E8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C1007A" w:rsidRPr="006E29B1" w:rsidTr="00E131B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E131B4" w:rsidRDefault="00E131B4" w:rsidP="00A05E87">
            <w:pPr>
              <w:jc w:val="center"/>
              <w:rPr>
                <w:b/>
              </w:rPr>
            </w:pPr>
            <w:r>
              <w:rPr>
                <w:b/>
              </w:rPr>
              <w:t xml:space="preserve">odborná učebna fyziky - </w:t>
            </w:r>
          </w:p>
          <w:p w:rsidR="00C1007A" w:rsidRPr="006E29B1" w:rsidRDefault="00C1007A" w:rsidP="00A05E87">
            <w:pPr>
              <w:jc w:val="center"/>
            </w:pPr>
            <w:r w:rsidRPr="00EC59B5">
              <w:rPr>
                <w:b/>
              </w:rPr>
              <w:t xml:space="preserve">cena celkem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C64E62" w:rsidP="00983C35">
            <w:pPr>
              <w:jc w:val="center"/>
              <w:rPr>
                <w:b/>
                <w:color w:val="000000"/>
              </w:rPr>
            </w:pPr>
            <w:r w:rsidRPr="00C64E62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C64E62" w:rsidP="00983C35">
            <w:pPr>
              <w:jc w:val="center"/>
              <w:rPr>
                <w:b/>
                <w:color w:val="000000"/>
              </w:rPr>
            </w:pPr>
            <w:r w:rsidRPr="00C64E62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C64E62" w:rsidP="00983C35">
            <w:pPr>
              <w:jc w:val="center"/>
              <w:rPr>
                <w:b/>
                <w:color w:val="000000"/>
              </w:rPr>
            </w:pPr>
            <w:r w:rsidRPr="00C64E62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C64E62" w:rsidP="00983C35">
            <w:pPr>
              <w:jc w:val="center"/>
              <w:rPr>
                <w:b/>
                <w:color w:val="000000"/>
              </w:rPr>
            </w:pPr>
            <w:r w:rsidRPr="00C64E62">
              <w:rPr>
                <w:b/>
                <w:color w:val="000000"/>
                <w:highlight w:val="yellow"/>
              </w:rPr>
              <w:t>…</w:t>
            </w:r>
          </w:p>
        </w:tc>
      </w:tr>
    </w:tbl>
    <w:p w:rsidR="000F42E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>
        <w:t>V kupní ceně jsou zahrnuty veškeré náklady prodávajícího související s řádným a včasným dodáním předmětu prodeje, zejména náklady na</w:t>
      </w:r>
      <w:r w:rsidR="00916C92">
        <w:t xml:space="preserve"> </w:t>
      </w:r>
      <w:r>
        <w:t xml:space="preserve">zajištění zboží, </w:t>
      </w:r>
      <w:r w:rsidRPr="000F42E9">
        <w:t>skladování, balné, pojištění. Dále je v kupní ceně zahrnuta cena dopravy zboží do místa plnění</w:t>
      </w:r>
      <w:r w:rsidR="00916C92">
        <w:t>, jeho instalace a uvedení do provozu, vč. provedení souvisejících stavebních a montážních prací</w:t>
      </w:r>
      <w:r w:rsidRPr="000F42E9">
        <w:t xml:space="preserve"> a</w:t>
      </w:r>
      <w:r w:rsidR="00916C92">
        <w:t xml:space="preserve"> následné</w:t>
      </w:r>
      <w:r>
        <w:t xml:space="preserve"> zaškolení kupujícího</w:t>
      </w:r>
      <w:r w:rsidRPr="000F42E9">
        <w:t xml:space="preserve"> nebo o</w:t>
      </w:r>
      <w:r>
        <w:t>sob jím určených ohledně způsobu užívání předmětu prodeje.</w:t>
      </w:r>
    </w:p>
    <w:p w:rsidR="000F42E9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Prodávající odpovídá za to, že sazba </w:t>
      </w:r>
      <w:r w:rsidRPr="00E26162">
        <w:t>DPH</w:t>
      </w:r>
      <w:r>
        <w:t xml:space="preserve"> je stanovena v souladu s platnými právními předpisy. Kupní cena je úplná, konečná, neměnná a je sjednána jako cena nejvýše přípustná, která je překročitelná pouze v případě změny právních předpisů ovlivňujících výši DPH u ceny sjednané touto smlouvou.</w:t>
      </w:r>
    </w:p>
    <w:p w:rsidR="005C29C5" w:rsidRPr="005C29C5" w:rsidRDefault="00603B4B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A27DEA">
        <w:rPr>
          <w:rFonts w:cstheme="minorHAnsi"/>
        </w:rPr>
        <w:t>Platba bude realizována jed</w:t>
      </w:r>
      <w:r>
        <w:rPr>
          <w:rFonts w:cstheme="minorHAnsi"/>
        </w:rPr>
        <w:t>i</w:t>
      </w:r>
      <w:r w:rsidRPr="00A27DEA">
        <w:rPr>
          <w:rFonts w:cstheme="minorHAnsi"/>
        </w:rPr>
        <w:t xml:space="preserve">nou platbou na základě jediné konečné faktury po </w:t>
      </w:r>
      <w:r w:rsidR="00C64E62">
        <w:rPr>
          <w:rFonts w:cstheme="minorHAnsi"/>
        </w:rPr>
        <w:t>dokončení</w:t>
      </w:r>
      <w:r w:rsidR="00C64E62">
        <w:rPr>
          <w:rFonts w:cstheme="minorHAnsi"/>
        </w:rPr>
        <w:br/>
      </w:r>
      <w:r w:rsidR="00B93D5C">
        <w:rPr>
          <w:rFonts w:cstheme="minorHAnsi"/>
        </w:rPr>
        <w:t>a protokolárním předání celého předmětu plnění zakázky</w:t>
      </w:r>
      <w:r w:rsidRPr="00A27DEA">
        <w:rPr>
          <w:rFonts w:cstheme="minorHAnsi"/>
        </w:rPr>
        <w:t>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Faktura musí splňovat náležitosti daňového dokladu dle platné le</w:t>
      </w:r>
      <w:r w:rsidR="00B93D5C">
        <w:rPr>
          <w:rFonts w:cstheme="minorHAnsi"/>
          <w:szCs w:val="20"/>
        </w:rPr>
        <w:t xml:space="preserve">gislativy. Splatnost </w:t>
      </w:r>
      <w:r>
        <w:rPr>
          <w:rFonts w:cstheme="minorHAnsi"/>
          <w:szCs w:val="20"/>
        </w:rPr>
        <w:t>faktury</w:t>
      </w:r>
      <w:r w:rsidR="00B93D5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je</w:t>
      </w:r>
      <w:r w:rsidR="00B93D5C">
        <w:rPr>
          <w:rFonts w:cstheme="minorHAnsi"/>
          <w:szCs w:val="20"/>
        </w:rPr>
        <w:t xml:space="preserve"> 3</w:t>
      </w:r>
      <w:r w:rsidRPr="00EB45A1">
        <w:rPr>
          <w:rFonts w:cstheme="minorHAnsi"/>
          <w:szCs w:val="20"/>
        </w:rPr>
        <w:t>0 dní ode dne jejího vystavení.</w:t>
      </w:r>
      <w:r w:rsidR="009B3C5F">
        <w:rPr>
          <w:rFonts w:cstheme="minorHAnsi"/>
          <w:szCs w:val="20"/>
        </w:rPr>
        <w:t xml:space="preserve"> Faktura bude označena názvem proj</w:t>
      </w:r>
      <w:r w:rsidR="00460B05">
        <w:rPr>
          <w:rFonts w:cstheme="minorHAnsi"/>
          <w:szCs w:val="20"/>
        </w:rPr>
        <w:t>ektu a registračním číslem (viz</w:t>
      </w:r>
      <w:r w:rsidR="00460B05">
        <w:rPr>
          <w:rFonts w:cstheme="minorHAnsi"/>
          <w:szCs w:val="20"/>
        </w:rPr>
        <w:br/>
      </w:r>
      <w:r w:rsidR="009B3C5F">
        <w:rPr>
          <w:rFonts w:cstheme="minorHAnsi"/>
          <w:szCs w:val="20"/>
        </w:rPr>
        <w:t>čl. II.1).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Zaplacením se rozumí připsání odpovídající částky ve prospěch účtu prodávajícího.</w:t>
      </w:r>
    </w:p>
    <w:p w:rsidR="004508B6" w:rsidRPr="00DD184E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Smluvní strany si sjednávají pro případ prodlení prodávajícího s do</w:t>
      </w:r>
      <w:r w:rsidR="00814A37">
        <w:rPr>
          <w:rFonts w:cstheme="minorHAnsi"/>
          <w:szCs w:val="20"/>
        </w:rPr>
        <w:t>dáním kompletního předmětu plnění zakázky</w:t>
      </w:r>
      <w:r w:rsidRPr="00EB45A1">
        <w:rPr>
          <w:rFonts w:cstheme="minorHAnsi"/>
          <w:szCs w:val="20"/>
        </w:rPr>
        <w:t xml:space="preserve"> do stanoveného termínu možnost </w:t>
      </w:r>
      <w:r w:rsidR="00AF0B63">
        <w:rPr>
          <w:rFonts w:cstheme="minorHAnsi"/>
          <w:szCs w:val="20"/>
        </w:rPr>
        <w:t>uložit smluvní pokutu ve výši 5</w:t>
      </w:r>
      <w:r w:rsidR="00023943">
        <w:rPr>
          <w:rFonts w:cstheme="minorHAnsi"/>
          <w:szCs w:val="20"/>
        </w:rPr>
        <w:t>.0</w:t>
      </w:r>
      <w:r w:rsidRPr="004508B6">
        <w:rPr>
          <w:rFonts w:cstheme="minorHAnsi"/>
          <w:szCs w:val="20"/>
        </w:rPr>
        <w:t>00,- Kč,</w:t>
      </w:r>
      <w:r w:rsidRPr="00EB45A1">
        <w:rPr>
          <w:rFonts w:cstheme="minorHAnsi"/>
          <w:szCs w:val="20"/>
        </w:rPr>
        <w:t xml:space="preserve"> a to za každý i započatý den prodlení.</w:t>
      </w:r>
    </w:p>
    <w:p w:rsidR="009B3C5F" w:rsidRPr="004508B6" w:rsidRDefault="00DD184E" w:rsidP="009B3C5F">
      <w:pPr>
        <w:pStyle w:val="Odstavecseseznamem"/>
        <w:numPr>
          <w:ilvl w:val="0"/>
          <w:numId w:val="21"/>
        </w:numPr>
        <w:ind w:left="284" w:hanging="284"/>
        <w:jc w:val="both"/>
      </w:pPr>
      <w:r>
        <w:rPr>
          <w:rFonts w:cstheme="minorHAnsi"/>
          <w:szCs w:val="20"/>
        </w:rPr>
        <w:t xml:space="preserve">V případě prodlení kupujícího s platbou </w:t>
      </w:r>
      <w:r w:rsidR="00EE6F50">
        <w:rPr>
          <w:rFonts w:cstheme="minorHAnsi"/>
          <w:szCs w:val="20"/>
        </w:rPr>
        <w:t>kupní ceny</w:t>
      </w:r>
      <w:r>
        <w:rPr>
          <w:rFonts w:cstheme="minorHAnsi"/>
          <w:szCs w:val="20"/>
        </w:rPr>
        <w:t xml:space="preserve"> oproti termínu splatnosti vyznačenému na daňovém dokladu je prodávající oprávněn </w:t>
      </w:r>
      <w:r w:rsidR="00AF0B63">
        <w:rPr>
          <w:rFonts w:cstheme="minorHAnsi"/>
          <w:szCs w:val="20"/>
        </w:rPr>
        <w:t>účtovat smluvní pokutu ve výši 5</w:t>
      </w:r>
      <w:r>
        <w:rPr>
          <w:rFonts w:cstheme="minorHAnsi"/>
          <w:szCs w:val="20"/>
        </w:rPr>
        <w:t>.000,- Kč za každý započatý den prodlení.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7128A9">
        <w:rPr>
          <w:rFonts w:cstheme="minorHAnsi"/>
          <w:szCs w:val="20"/>
        </w:rPr>
        <w:t>Pokud faktura neobsahuje všechny zákonem a smlouvou stanovené náležitosti, je kupující oprávněn ji do data splatnosti vrátit s tím, že prodávající je poté povinen vystavit novou fakturu s novým termínem splatnosti. V takovém případě není kupující v prodlení s úhradou.</w:t>
      </w:r>
    </w:p>
    <w:p w:rsidR="004A17C9" w:rsidRDefault="004A17C9" w:rsidP="00801E86">
      <w:pPr>
        <w:jc w:val="center"/>
        <w:rPr>
          <w:rFonts w:cs="Arial"/>
          <w:b/>
        </w:rPr>
      </w:pPr>
    </w:p>
    <w:p w:rsidR="00801E86" w:rsidRPr="00E71D41" w:rsidRDefault="00801E86" w:rsidP="00801E86">
      <w:pPr>
        <w:jc w:val="center"/>
        <w:rPr>
          <w:rFonts w:cs="Arial"/>
          <w:b/>
        </w:rPr>
      </w:pPr>
      <w:r w:rsidRPr="00E71D41">
        <w:rPr>
          <w:rFonts w:cs="Arial"/>
          <w:b/>
        </w:rPr>
        <w:t>IV.</w:t>
      </w:r>
      <w:r w:rsidR="00426535" w:rsidRPr="00E71D41">
        <w:rPr>
          <w:rFonts w:cs="Arial"/>
          <w:b/>
        </w:rPr>
        <w:t xml:space="preserve"> </w:t>
      </w:r>
      <w:r w:rsidR="004508B6" w:rsidRPr="00E71D41">
        <w:rPr>
          <w:b/>
        </w:rPr>
        <w:t xml:space="preserve">Předání předmětu </w:t>
      </w:r>
      <w:r w:rsidR="00814A37" w:rsidRPr="00E71D41">
        <w:rPr>
          <w:b/>
        </w:rPr>
        <w:t>plnění zakázky</w:t>
      </w:r>
    </w:p>
    <w:p w:rsidR="00E131B4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71D41">
        <w:rPr>
          <w:rFonts w:cstheme="minorHAnsi"/>
          <w:szCs w:val="20"/>
        </w:rPr>
        <w:t xml:space="preserve">Prodávající je povinen předat předmět </w:t>
      </w:r>
      <w:r w:rsidR="00814A37" w:rsidRPr="00E71D41">
        <w:rPr>
          <w:rFonts w:cstheme="minorHAnsi"/>
          <w:szCs w:val="20"/>
        </w:rPr>
        <w:t>plnění zakázky</w:t>
      </w:r>
      <w:r w:rsidRPr="00E71D41">
        <w:rPr>
          <w:rFonts w:cstheme="minorHAnsi"/>
          <w:szCs w:val="20"/>
        </w:rPr>
        <w:t xml:space="preserve"> dle této smlouvy nejpozději</w:t>
      </w:r>
      <w:r w:rsidR="00B93D5C" w:rsidRPr="00E71D41">
        <w:rPr>
          <w:rFonts w:cstheme="minorHAnsi"/>
          <w:szCs w:val="20"/>
        </w:rPr>
        <w:t xml:space="preserve"> </w:t>
      </w:r>
      <w:r w:rsidR="005C29C5">
        <w:rPr>
          <w:rFonts w:cstheme="minorHAnsi"/>
          <w:szCs w:val="20"/>
        </w:rPr>
        <w:t>do 12</w:t>
      </w:r>
      <w:r w:rsidRPr="00B51ED7">
        <w:rPr>
          <w:rFonts w:cstheme="minorHAnsi"/>
          <w:szCs w:val="20"/>
        </w:rPr>
        <w:t>0ti kalendářních</w:t>
      </w:r>
      <w:r w:rsidR="00460B05">
        <w:rPr>
          <w:rFonts w:cstheme="minorHAnsi"/>
          <w:szCs w:val="20"/>
        </w:rPr>
        <w:t xml:space="preserve"> dní ode dne nabytí účinnosti </w:t>
      </w:r>
      <w:r w:rsidR="005C29C5">
        <w:rPr>
          <w:rFonts w:cstheme="minorHAnsi"/>
          <w:szCs w:val="20"/>
        </w:rPr>
        <w:t>této smlouvy.</w:t>
      </w:r>
    </w:p>
    <w:p w:rsidR="004508B6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131B4">
        <w:rPr>
          <w:rFonts w:cstheme="minorHAnsi"/>
          <w:szCs w:val="20"/>
        </w:rPr>
        <w:t xml:space="preserve">Místem předání a převzetí předmětu </w:t>
      </w:r>
      <w:r w:rsidR="00814A37" w:rsidRPr="00E131B4">
        <w:rPr>
          <w:rFonts w:cstheme="minorHAnsi"/>
          <w:szCs w:val="20"/>
        </w:rPr>
        <w:t>plnění zakázky</w:t>
      </w:r>
      <w:r w:rsidRPr="00E131B4">
        <w:rPr>
          <w:rFonts w:cstheme="minorHAnsi"/>
          <w:szCs w:val="20"/>
        </w:rPr>
        <w:t xml:space="preserve"> je </w:t>
      </w:r>
      <w:r w:rsidR="004F2847" w:rsidRPr="00E131B4">
        <w:rPr>
          <w:rFonts w:cstheme="minorHAnsi"/>
        </w:rPr>
        <w:t>sídlo</w:t>
      </w:r>
      <w:r w:rsidR="00E71D41" w:rsidRPr="00E131B4">
        <w:rPr>
          <w:rFonts w:cstheme="minorHAnsi"/>
        </w:rPr>
        <w:t xml:space="preserve"> kupujícího (resp.</w:t>
      </w:r>
      <w:r w:rsidR="00E131B4" w:rsidRPr="00E131B4">
        <w:rPr>
          <w:rFonts w:cstheme="minorHAnsi"/>
        </w:rPr>
        <w:t xml:space="preserve"> </w:t>
      </w:r>
      <w:r w:rsidR="00E131B4" w:rsidRPr="00E131B4">
        <w:rPr>
          <w:rStyle w:val="tsubjname"/>
          <w:rFonts w:cstheme="minorHAnsi"/>
        </w:rPr>
        <w:t>ZŠ a MŠ Kpt. Otakara Jaroše Louny,</w:t>
      </w:r>
      <w:r w:rsidR="00E131B4">
        <w:rPr>
          <w:rStyle w:val="tsubjname"/>
          <w:rFonts w:cstheme="minorHAnsi"/>
        </w:rPr>
        <w:t xml:space="preserve"> </w:t>
      </w:r>
      <w:r w:rsidR="00E131B4" w:rsidRPr="00920A2C">
        <w:rPr>
          <w:rFonts w:cstheme="minorHAnsi"/>
        </w:rPr>
        <w:t>28. října 2173, 440 01 Louny</w:t>
      </w:r>
      <w:r w:rsidR="00E71D41" w:rsidRPr="00E131B4">
        <w:rPr>
          <w:rFonts w:cstheme="minorHAnsi"/>
        </w:rPr>
        <w:t>)</w:t>
      </w:r>
      <w:r w:rsidRPr="00E131B4">
        <w:rPr>
          <w:rFonts w:cstheme="minorHAnsi"/>
          <w:szCs w:val="20"/>
        </w:rPr>
        <w:t>, náklady na dopravu a předání nese prodávající.</w:t>
      </w:r>
    </w:p>
    <w:p w:rsidR="004508B6" w:rsidRPr="004508B6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informuje kupujícího nejméně 7</w:t>
      </w:r>
      <w:r w:rsidR="006B3B59">
        <w:rPr>
          <w:rFonts w:cstheme="minorHAnsi"/>
          <w:szCs w:val="20"/>
        </w:rPr>
        <w:t xml:space="preserve"> kalendářních</w:t>
      </w:r>
      <w:r w:rsidRPr="00EB45A1">
        <w:rPr>
          <w:rFonts w:cstheme="minorHAnsi"/>
          <w:szCs w:val="20"/>
        </w:rPr>
        <w:t xml:space="preserve"> dní předem o možnosti předání předmětu </w:t>
      </w:r>
      <w:r w:rsidR="00B93D5C">
        <w:rPr>
          <w:rFonts w:cstheme="minorHAnsi"/>
          <w:szCs w:val="20"/>
        </w:rPr>
        <w:t>plnění zakázky</w:t>
      </w:r>
      <w:r>
        <w:rPr>
          <w:rFonts w:cstheme="minorHAnsi"/>
          <w:szCs w:val="20"/>
        </w:rPr>
        <w:t>. Následně bude</w:t>
      </w:r>
      <w:r w:rsidRPr="00EB45A1">
        <w:rPr>
          <w:rFonts w:cstheme="minorHAnsi"/>
          <w:szCs w:val="20"/>
        </w:rPr>
        <w:t xml:space="preserve"> po vzájemné dohodě smluven konkrétní termín předání </w:t>
      </w:r>
      <w:r w:rsidR="00B93D5C">
        <w:rPr>
          <w:rFonts w:cstheme="minorHAnsi"/>
          <w:szCs w:val="20"/>
        </w:rPr>
        <w:t>předmětu plnění zakázky</w:t>
      </w:r>
      <w:r w:rsidRPr="00EB45A1">
        <w:rPr>
          <w:rFonts w:cstheme="minorHAnsi"/>
          <w:szCs w:val="20"/>
        </w:rPr>
        <w:t>.</w:t>
      </w:r>
    </w:p>
    <w:p w:rsidR="004508B6" w:rsidRPr="00542B40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zároveň předá kupujícímu veš</w:t>
      </w:r>
      <w:r w:rsidR="00B93D5C">
        <w:rPr>
          <w:rFonts w:cstheme="minorHAnsi"/>
          <w:szCs w:val="20"/>
        </w:rPr>
        <w:t>k</w:t>
      </w:r>
      <w:r w:rsidRPr="00EB45A1">
        <w:rPr>
          <w:rFonts w:cstheme="minorHAnsi"/>
          <w:szCs w:val="20"/>
        </w:rPr>
        <w:t>eré doklady související s předmětem plnění</w:t>
      </w:r>
      <w:r w:rsidR="00B93D5C">
        <w:rPr>
          <w:rFonts w:cstheme="minorHAnsi"/>
          <w:szCs w:val="20"/>
        </w:rPr>
        <w:t xml:space="preserve"> zakázky</w:t>
      </w:r>
      <w:r w:rsidRPr="00EB45A1">
        <w:rPr>
          <w:rFonts w:cstheme="minorHAnsi"/>
          <w:szCs w:val="20"/>
        </w:rPr>
        <w:t>.</w:t>
      </w:r>
    </w:p>
    <w:p w:rsidR="00542B40" w:rsidRPr="004508B6" w:rsidRDefault="00542B40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 xml:space="preserve">O předání předmětu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bude sepsán prot</w:t>
      </w:r>
      <w:r w:rsidR="00C64E62">
        <w:rPr>
          <w:rFonts w:cstheme="minorHAnsi"/>
          <w:szCs w:val="20"/>
        </w:rPr>
        <w:t>okol, podepsaný oběma stranami.</w:t>
      </w:r>
      <w:r w:rsidR="00C64E62">
        <w:rPr>
          <w:rFonts w:cstheme="minorHAnsi"/>
          <w:szCs w:val="20"/>
        </w:rPr>
        <w:br/>
      </w:r>
      <w:r w:rsidRPr="00EB45A1">
        <w:rPr>
          <w:rFonts w:cstheme="minorHAnsi"/>
          <w:szCs w:val="20"/>
        </w:rPr>
        <w:t xml:space="preserve">V protokolu budou uvedeny veškeré případné vady. Do odstranění veškerých vad plnění bude předmět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považován za nepředaný.</w:t>
      </w:r>
    </w:p>
    <w:p w:rsidR="00125A1B" w:rsidRDefault="00125A1B" w:rsidP="00125A1B">
      <w:pPr>
        <w:rPr>
          <w:rFonts w:cs="Arial"/>
        </w:rPr>
      </w:pPr>
    </w:p>
    <w:p w:rsidR="00125A1B" w:rsidRPr="00BC613E" w:rsidRDefault="00125A1B" w:rsidP="00125A1B">
      <w:pPr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Pr="00BC613E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>
        <w:rPr>
          <w:b/>
        </w:rPr>
        <w:t>Součinnost a povinnosti smluvních stran, pracoviště</w:t>
      </w:r>
    </w:p>
    <w:p w:rsidR="00125A1B" w:rsidRPr="0087799B" w:rsidRDefault="00125A1B" w:rsidP="00125A1B">
      <w:pPr>
        <w:pStyle w:val="Odstavecseseznamem"/>
        <w:numPr>
          <w:ilvl w:val="0"/>
          <w:numId w:val="27"/>
        </w:numPr>
        <w:ind w:left="284" w:hanging="284"/>
        <w:jc w:val="both"/>
        <w:rPr>
          <w:rFonts w:cs="Arial"/>
        </w:rPr>
      </w:pPr>
      <w:r>
        <w:rPr>
          <w:rFonts w:cstheme="minorHAnsi"/>
          <w:color w:val="000000"/>
        </w:rPr>
        <w:t>Prodávající</w:t>
      </w:r>
      <w:r w:rsidRPr="001F5CE0">
        <w:rPr>
          <w:rFonts w:cstheme="minorHAnsi"/>
          <w:color w:val="000000"/>
        </w:rPr>
        <w:t xml:space="preserve"> je povinen vést v rozsahu a způsobem podle § 6 vyhlášky </w:t>
      </w:r>
      <w:r>
        <w:rPr>
          <w:rFonts w:cstheme="minorHAnsi"/>
          <w:color w:val="000000"/>
        </w:rPr>
        <w:t>Ministerstva pro místní rozvoj</w:t>
      </w:r>
      <w:r w:rsidRPr="001F5CE0">
        <w:rPr>
          <w:rFonts w:cstheme="minorHAnsi"/>
          <w:color w:val="000000"/>
        </w:rPr>
        <w:t xml:space="preserve"> č. 499/2006 Sb.,</w:t>
      </w:r>
      <w:r>
        <w:rPr>
          <w:rFonts w:cstheme="minorHAnsi"/>
          <w:color w:val="000000"/>
        </w:rPr>
        <w:t xml:space="preserve"> o dokumentaci staveb,</w:t>
      </w:r>
      <w:r w:rsidRPr="001F5CE0">
        <w:rPr>
          <w:rFonts w:cstheme="minorHAnsi"/>
          <w:color w:val="000000"/>
        </w:rPr>
        <w:t xml:space="preserve"> ve znění pozdějších předpisů, stavební deník ode dne, kdy byly zahájeny práce</w:t>
      </w:r>
      <w:r>
        <w:rPr>
          <w:rFonts w:cstheme="minorHAnsi"/>
          <w:color w:val="000000"/>
        </w:rPr>
        <w:t xml:space="preserve"> v</w:t>
      </w:r>
      <w:r w:rsidRPr="001F5CE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místě plnění (dále také jen „pracoviště“) </w:t>
      </w:r>
      <w:r w:rsidRPr="001F5CE0">
        <w:rPr>
          <w:rFonts w:cstheme="minorHAnsi"/>
          <w:color w:val="000000"/>
        </w:rPr>
        <w:t>o pracích, které provádí</w:t>
      </w:r>
      <w:r>
        <w:rPr>
          <w:rFonts w:cstheme="minorHAnsi"/>
          <w:color w:val="000000"/>
        </w:rPr>
        <w:t>, zejména v souvislosti se stavebními úpravami a rekonstrukcí učebny</w:t>
      </w:r>
      <w:r w:rsidRPr="001F5CE0">
        <w:rPr>
          <w:rFonts w:cstheme="minorHAnsi"/>
          <w:color w:val="000000"/>
        </w:rPr>
        <w:t>. Povinnost vést stavební deník končí dnem, kdy zhotovitel odstraní</w:t>
      </w:r>
      <w:r>
        <w:rPr>
          <w:rFonts w:cstheme="minorHAnsi"/>
          <w:color w:val="000000"/>
        </w:rPr>
        <w:t xml:space="preserve"> </w:t>
      </w:r>
      <w:r w:rsidRPr="001F5CE0">
        <w:rPr>
          <w:rFonts w:cstheme="minorHAnsi"/>
          <w:color w:val="000000"/>
        </w:rPr>
        <w:t>případné vady a nedodělky díla.</w:t>
      </w:r>
    </w:p>
    <w:p w:rsidR="00125A1B" w:rsidRPr="00E947E9" w:rsidRDefault="00125A1B" w:rsidP="00125A1B">
      <w:pPr>
        <w:pStyle w:val="Odstavecseseznamem"/>
        <w:numPr>
          <w:ilvl w:val="0"/>
          <w:numId w:val="27"/>
        </w:numPr>
        <w:ind w:left="284" w:hanging="284"/>
        <w:jc w:val="both"/>
        <w:rPr>
          <w:rFonts w:cs="Arial"/>
        </w:rPr>
      </w:pPr>
      <w:r w:rsidRPr="001F5CE0">
        <w:rPr>
          <w:rFonts w:cstheme="minorHAnsi"/>
          <w:color w:val="000000"/>
        </w:rPr>
        <w:t>O předání a převzetí</w:t>
      </w:r>
      <w:r>
        <w:rPr>
          <w:rFonts w:cstheme="minorHAnsi"/>
          <w:color w:val="000000"/>
        </w:rPr>
        <w:t xml:space="preserve"> pracoviště</w:t>
      </w:r>
      <w:r w:rsidRPr="001F5CE0">
        <w:rPr>
          <w:rFonts w:cstheme="minorHAnsi"/>
          <w:color w:val="000000"/>
        </w:rPr>
        <w:t xml:space="preserve"> a jeho stavu bude sepsán zápis ve stavebním deníku</w:t>
      </w:r>
      <w:r>
        <w:rPr>
          <w:rFonts w:cstheme="minorHAnsi"/>
          <w:color w:val="000000"/>
        </w:rPr>
        <w:t xml:space="preserve"> </w:t>
      </w:r>
      <w:r w:rsidRPr="001F5CE0">
        <w:rPr>
          <w:rFonts w:cstheme="minorHAnsi"/>
          <w:color w:val="000000"/>
        </w:rPr>
        <w:t>nebo písemný protokol.</w:t>
      </w:r>
    </w:p>
    <w:p w:rsidR="00125A1B" w:rsidRPr="00E947E9" w:rsidRDefault="00125A1B" w:rsidP="00125A1B">
      <w:pPr>
        <w:pStyle w:val="Odstavecseseznamem"/>
        <w:numPr>
          <w:ilvl w:val="0"/>
          <w:numId w:val="27"/>
        </w:numPr>
        <w:ind w:left="284" w:hanging="284"/>
        <w:jc w:val="both"/>
        <w:rPr>
          <w:rFonts w:cs="Arial"/>
        </w:rPr>
      </w:pPr>
      <w:r>
        <w:rPr>
          <w:rFonts w:cstheme="minorHAnsi"/>
          <w:color w:val="000000"/>
        </w:rPr>
        <w:t>Kupující</w:t>
      </w:r>
      <w:r w:rsidRPr="001F5CE0">
        <w:rPr>
          <w:rFonts w:cstheme="minorHAnsi"/>
          <w:color w:val="000000"/>
        </w:rPr>
        <w:t xml:space="preserve"> vytvoří </w:t>
      </w:r>
      <w:r>
        <w:rPr>
          <w:rFonts w:cstheme="minorHAnsi"/>
          <w:color w:val="000000"/>
        </w:rPr>
        <w:t>prodávajícímu odpovídající</w:t>
      </w:r>
      <w:r w:rsidRPr="001F5CE0">
        <w:rPr>
          <w:rFonts w:cstheme="minorHAnsi"/>
          <w:color w:val="000000"/>
        </w:rPr>
        <w:t xml:space="preserve"> podm</w:t>
      </w:r>
      <w:r>
        <w:rPr>
          <w:rFonts w:cstheme="minorHAnsi"/>
          <w:color w:val="000000"/>
        </w:rPr>
        <w:t xml:space="preserve">ínky pro plynulé provádění díla (tedy zejména přístup na pracoviště po dobu provádění díla, dále </w:t>
      </w:r>
      <w:r w:rsidRPr="00E947E9">
        <w:rPr>
          <w:rFonts w:cstheme="minorHAnsi"/>
          <w:color w:val="000000"/>
        </w:rPr>
        <w:t>dodávky energií a vody pro výstavbu ze svých přípojných bodů</w:t>
      </w:r>
      <w:r>
        <w:rPr>
          <w:rFonts w:cstheme="minorHAnsi"/>
          <w:color w:val="000000"/>
        </w:rPr>
        <w:t>, apod.).</w:t>
      </w:r>
    </w:p>
    <w:p w:rsidR="00125A1B" w:rsidRPr="00E947E9" w:rsidRDefault="00125A1B" w:rsidP="00125A1B">
      <w:pPr>
        <w:pStyle w:val="Odstavecseseznamem"/>
        <w:numPr>
          <w:ilvl w:val="0"/>
          <w:numId w:val="27"/>
        </w:numPr>
        <w:ind w:left="284" w:hanging="284"/>
        <w:jc w:val="both"/>
        <w:rPr>
          <w:rFonts w:cs="Arial"/>
        </w:rPr>
      </w:pPr>
      <w:r>
        <w:rPr>
          <w:rFonts w:cstheme="minorHAnsi"/>
          <w:color w:val="000000"/>
        </w:rPr>
        <w:t>Prodávajícímu</w:t>
      </w:r>
      <w:r w:rsidRPr="001F5CE0">
        <w:rPr>
          <w:rFonts w:cstheme="minorHAnsi"/>
          <w:color w:val="000000"/>
        </w:rPr>
        <w:t xml:space="preserve"> bude vymezen prostor pro skladování materiálu. </w:t>
      </w:r>
      <w:r>
        <w:rPr>
          <w:rFonts w:cstheme="minorHAnsi"/>
          <w:color w:val="000000"/>
        </w:rPr>
        <w:t>Prodávající</w:t>
      </w:r>
      <w:r w:rsidRPr="001F5CE0">
        <w:rPr>
          <w:rFonts w:cstheme="minorHAnsi"/>
          <w:color w:val="000000"/>
        </w:rPr>
        <w:t xml:space="preserve"> se zavazuje</w:t>
      </w:r>
      <w:r>
        <w:rPr>
          <w:rFonts w:cstheme="minorHAnsi"/>
          <w:color w:val="000000"/>
        </w:rPr>
        <w:t xml:space="preserve"> </w:t>
      </w:r>
      <w:r w:rsidRPr="001F5CE0">
        <w:rPr>
          <w:rFonts w:cstheme="minorHAnsi"/>
          <w:color w:val="000000"/>
        </w:rPr>
        <w:t xml:space="preserve">uvést prostor pro skladování materiálu a </w:t>
      </w:r>
      <w:r>
        <w:rPr>
          <w:rFonts w:cstheme="minorHAnsi"/>
          <w:color w:val="000000"/>
        </w:rPr>
        <w:t>pracoviště</w:t>
      </w:r>
      <w:r w:rsidRPr="001F5CE0">
        <w:rPr>
          <w:rFonts w:cstheme="minorHAnsi"/>
          <w:color w:val="000000"/>
        </w:rPr>
        <w:t xml:space="preserve"> do stavu dle požadavků stanovených</w:t>
      </w:r>
      <w:r>
        <w:rPr>
          <w:rFonts w:cstheme="minorHAnsi"/>
          <w:color w:val="000000"/>
        </w:rPr>
        <w:t xml:space="preserve"> kupujícímu</w:t>
      </w:r>
      <w:r w:rsidRPr="001F5CE0">
        <w:rPr>
          <w:rFonts w:cstheme="minorHAnsi"/>
          <w:color w:val="000000"/>
        </w:rPr>
        <w:t xml:space="preserve"> nejpozději v den předání a převzetí díla.</w:t>
      </w:r>
    </w:p>
    <w:p w:rsidR="00125A1B" w:rsidRPr="0087799B" w:rsidRDefault="00125A1B" w:rsidP="00125A1B">
      <w:pPr>
        <w:pStyle w:val="Odstavecseseznamem"/>
        <w:numPr>
          <w:ilvl w:val="0"/>
          <w:numId w:val="27"/>
        </w:numPr>
        <w:ind w:left="284" w:hanging="284"/>
        <w:jc w:val="both"/>
        <w:rPr>
          <w:rFonts w:cs="Arial"/>
        </w:rPr>
      </w:pPr>
      <w:r>
        <w:rPr>
          <w:rFonts w:cstheme="minorHAnsi"/>
          <w:color w:val="000000"/>
        </w:rPr>
        <w:t>Prodávající</w:t>
      </w:r>
      <w:r w:rsidRPr="001F5CE0">
        <w:rPr>
          <w:rFonts w:cstheme="minorHAnsi"/>
          <w:color w:val="000000"/>
        </w:rPr>
        <w:t xml:space="preserve"> zajistí na pracovišti dodržování bezpečnostních a protipožárních předpisů,</w:t>
      </w:r>
      <w:r>
        <w:rPr>
          <w:rFonts w:cstheme="minorHAnsi"/>
          <w:color w:val="000000"/>
        </w:rPr>
        <w:t xml:space="preserve"> </w:t>
      </w:r>
      <w:r w:rsidRPr="001F5CE0">
        <w:rPr>
          <w:rFonts w:cstheme="minorHAnsi"/>
          <w:color w:val="000000"/>
        </w:rPr>
        <w:t xml:space="preserve">s nimiž byl </w:t>
      </w:r>
      <w:r>
        <w:rPr>
          <w:rFonts w:cstheme="minorHAnsi"/>
          <w:color w:val="000000"/>
        </w:rPr>
        <w:t>kupujícím</w:t>
      </w:r>
      <w:r w:rsidRPr="001F5CE0">
        <w:rPr>
          <w:rFonts w:cstheme="minorHAnsi"/>
          <w:color w:val="000000"/>
        </w:rPr>
        <w:t xml:space="preserve"> seznámen, a zajistí proškolení všech zaměstnanců provádějících dílo</w:t>
      </w:r>
      <w:r>
        <w:rPr>
          <w:rFonts w:cstheme="minorHAnsi"/>
          <w:color w:val="000000"/>
        </w:rPr>
        <w:t xml:space="preserve"> </w:t>
      </w:r>
      <w:r w:rsidRPr="001F5CE0">
        <w:rPr>
          <w:rFonts w:cstheme="minorHAnsi"/>
          <w:color w:val="000000"/>
        </w:rPr>
        <w:t>z těchto předpisů. Dále se zavazuje k dodržování obecně platných právních předpisů, zejména</w:t>
      </w:r>
      <w:r>
        <w:rPr>
          <w:rFonts w:cstheme="minorHAnsi"/>
          <w:color w:val="000000"/>
        </w:rPr>
        <w:t xml:space="preserve"> </w:t>
      </w:r>
      <w:r w:rsidRPr="001F5CE0">
        <w:rPr>
          <w:rFonts w:cstheme="minorHAnsi"/>
          <w:color w:val="000000"/>
        </w:rPr>
        <w:t>hygienických, týkajících se likvidace odpadů, ochrany životního prostředí a ochrany vod před</w:t>
      </w:r>
      <w:r>
        <w:rPr>
          <w:rFonts w:cstheme="minorHAnsi"/>
          <w:color w:val="000000"/>
        </w:rPr>
        <w:t xml:space="preserve"> </w:t>
      </w:r>
      <w:r w:rsidRPr="001F5CE0">
        <w:rPr>
          <w:rFonts w:cstheme="minorHAnsi"/>
          <w:color w:val="000000"/>
        </w:rPr>
        <w:t>ropnými látkami.</w:t>
      </w:r>
    </w:p>
    <w:p w:rsidR="00125A1B" w:rsidRPr="00E947E9" w:rsidRDefault="00125A1B" w:rsidP="00125A1B">
      <w:pPr>
        <w:pStyle w:val="Odstavecseseznamem"/>
        <w:numPr>
          <w:ilvl w:val="0"/>
          <w:numId w:val="27"/>
        </w:numPr>
        <w:ind w:left="284" w:hanging="284"/>
        <w:jc w:val="both"/>
        <w:rPr>
          <w:rFonts w:cs="Arial"/>
        </w:rPr>
      </w:pPr>
      <w:r>
        <w:rPr>
          <w:rFonts w:cstheme="minorHAnsi"/>
          <w:color w:val="000000"/>
        </w:rPr>
        <w:t>Kupující může prodávajícího</w:t>
      </w:r>
      <w:r w:rsidRPr="001F5CE0">
        <w:rPr>
          <w:rFonts w:cstheme="minorHAnsi"/>
          <w:color w:val="000000"/>
        </w:rPr>
        <w:t xml:space="preserve"> požádat, aby na počátku </w:t>
      </w:r>
      <w:r>
        <w:rPr>
          <w:rFonts w:cstheme="minorHAnsi"/>
          <w:color w:val="000000"/>
        </w:rPr>
        <w:t>realizace</w:t>
      </w:r>
      <w:r w:rsidRPr="001F5CE0">
        <w:rPr>
          <w:rFonts w:cstheme="minorHAnsi"/>
          <w:color w:val="000000"/>
        </w:rPr>
        <w:t xml:space="preserve"> navrhl způsob</w:t>
      </w:r>
      <w:r>
        <w:rPr>
          <w:rFonts w:cstheme="minorHAnsi"/>
          <w:color w:val="000000"/>
        </w:rPr>
        <w:t xml:space="preserve"> </w:t>
      </w:r>
      <w:r w:rsidRPr="001F5CE0">
        <w:rPr>
          <w:rFonts w:cstheme="minorHAnsi"/>
          <w:color w:val="000000"/>
        </w:rPr>
        <w:t>provádění prací a jednotlivé postupy a aby mu tyto údaje sdělil pro možnost kontrol.</w:t>
      </w:r>
    </w:p>
    <w:p w:rsidR="00125A1B" w:rsidRPr="00A136E7" w:rsidRDefault="00125A1B" w:rsidP="00125A1B">
      <w:pPr>
        <w:pStyle w:val="Odstavecseseznamem"/>
        <w:numPr>
          <w:ilvl w:val="0"/>
          <w:numId w:val="27"/>
        </w:numPr>
        <w:ind w:left="284" w:hanging="284"/>
        <w:jc w:val="both"/>
        <w:rPr>
          <w:rFonts w:cs="Arial"/>
        </w:rPr>
      </w:pPr>
      <w:r>
        <w:rPr>
          <w:rFonts w:cstheme="minorHAnsi"/>
        </w:rPr>
        <w:t>Kontrolou provádění prací a organizací kontrolních dnů je kupující oprávněn pověřit svého zástupce. Tento zástupce bude uveden ve stavebním deníku.</w:t>
      </w:r>
    </w:p>
    <w:p w:rsidR="00125A1B" w:rsidRPr="00E947E9" w:rsidRDefault="00125A1B" w:rsidP="00125A1B">
      <w:pPr>
        <w:pStyle w:val="Odstavecseseznamem"/>
        <w:numPr>
          <w:ilvl w:val="0"/>
          <w:numId w:val="27"/>
        </w:numPr>
        <w:ind w:left="284" w:hanging="284"/>
        <w:jc w:val="both"/>
        <w:rPr>
          <w:rFonts w:cs="Arial"/>
        </w:rPr>
      </w:pPr>
      <w:r>
        <w:rPr>
          <w:rFonts w:cstheme="minorHAnsi"/>
        </w:rPr>
        <w:t>Prodávající je povinen organizačně zajistit takový průběh plnění, resp. vzájemnou koordinací stavebních prací a dodávek, aby byla naplněna podmínka předání předmětu díla dle čl. IV. odst. 1. této smlouvy.</w:t>
      </w:r>
    </w:p>
    <w:p w:rsidR="004508B6" w:rsidRDefault="004508B6" w:rsidP="004508B6">
      <w:pPr>
        <w:rPr>
          <w:rFonts w:cs="Arial"/>
        </w:rPr>
      </w:pPr>
    </w:p>
    <w:p w:rsidR="00801E86" w:rsidRPr="00BC613E" w:rsidRDefault="00103F74" w:rsidP="00BE76E8">
      <w:pPr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="00125A1B">
        <w:rPr>
          <w:rFonts w:cs="Arial"/>
          <w:b/>
        </w:rPr>
        <w:t>I</w:t>
      </w:r>
      <w:r w:rsidR="00801E86" w:rsidRPr="00BC613E">
        <w:rPr>
          <w:rFonts w:cs="Arial"/>
          <w:b/>
        </w:rPr>
        <w:t>.</w:t>
      </w:r>
      <w:r w:rsidR="00BE76E8">
        <w:rPr>
          <w:rFonts w:cs="Arial"/>
          <w:b/>
        </w:rPr>
        <w:t xml:space="preserve"> </w:t>
      </w:r>
      <w:r w:rsidR="00542B40">
        <w:rPr>
          <w:b/>
        </w:rPr>
        <w:t>Další ujednání</w:t>
      </w:r>
    </w:p>
    <w:p w:rsidR="00542B40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a kupující se výslovně dohodli na tom, že od okamžiku uzavření této smlouvy do úplného zaplacení kupní ceny, je kupující oprávněn předmět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bezplatně užívat.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Nebezpečí škody na předmětu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přechází na kupujícího v době, kdy tento převezme od prodávajícího.</w:t>
      </w:r>
    </w:p>
    <w:p w:rsidR="00DE4681" w:rsidRPr="001F09DB" w:rsidRDefault="0015475C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poskytuje záruku za jakost a funkčnost předmětu </w:t>
      </w:r>
      <w:r>
        <w:t xml:space="preserve">př. </w:t>
      </w:r>
      <w:r>
        <w:rPr>
          <w:rFonts w:cstheme="minorHAnsi"/>
        </w:rPr>
        <w:t>plnění zakázky</w:t>
      </w:r>
      <w:r w:rsidRPr="001F09DB">
        <w:rPr>
          <w:rFonts w:cstheme="minorHAnsi"/>
        </w:rPr>
        <w:t xml:space="preserve"> po dobu </w:t>
      </w:r>
      <w:r>
        <w:rPr>
          <w:rFonts w:cstheme="minorHAnsi"/>
        </w:rPr>
        <w:t>24 měsíců</w:t>
      </w:r>
      <w:r w:rsidRPr="001F09DB">
        <w:rPr>
          <w:rFonts w:cstheme="minorHAnsi"/>
        </w:rPr>
        <w:t xml:space="preserve"> </w:t>
      </w:r>
      <w:r>
        <w:rPr>
          <w:rFonts w:cstheme="minorHAnsi"/>
        </w:rPr>
        <w:t>u dodávek a 60 měsíců u provedených stavebních prací</w:t>
      </w:r>
      <w:r w:rsidR="00DE4681" w:rsidRPr="001F09DB">
        <w:rPr>
          <w:rFonts w:cstheme="minorHAnsi"/>
        </w:rPr>
        <w:t xml:space="preserve"> od bezvadného předání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="00DE4681" w:rsidRPr="001F09DB">
        <w:rPr>
          <w:rFonts w:cstheme="minorHAnsi"/>
        </w:rPr>
        <w:t xml:space="preserve">. Zárukou za jakost zboží přejímá prodávající závazek, že dodané zboží bude po stanovenou dobu způsobilé pro použití k obvyklému účelu a že si zachová obvyklé vlastnosti. 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>Reklamace musí být uplatněna v písemné formě na místě při převzetí zboží (v případě zjištění vady při převzetí) anebo prostřednictvím e</w:t>
      </w:r>
      <w:r w:rsidR="00C64E62">
        <w:rPr>
          <w:rFonts w:cstheme="minorHAnsi"/>
        </w:rPr>
        <w:t>-</w:t>
      </w:r>
      <w:r w:rsidRPr="001F09DB">
        <w:rPr>
          <w:rFonts w:cstheme="minorHAnsi"/>
        </w:rPr>
        <w:t>mailu (v případě zjištění a vzniku vady v průběhu záruční doby) uvedeného v záhlaví této smlouvy, s popisem vady. Prodávající je povinen potvrdit přijetí reklamace obratem a</w:t>
      </w:r>
      <w:r w:rsidR="00C64E62">
        <w:rPr>
          <w:rFonts w:cstheme="minorHAnsi"/>
        </w:rPr>
        <w:t xml:space="preserve"> </w:t>
      </w:r>
      <w:r w:rsidRPr="001F09DB">
        <w:rPr>
          <w:rFonts w:cstheme="minorHAnsi"/>
        </w:rPr>
        <w:t>vyřídit</w:t>
      </w:r>
      <w:r w:rsidR="005C29C5">
        <w:rPr>
          <w:rFonts w:cstheme="minorHAnsi"/>
        </w:rPr>
        <w:t xml:space="preserve"> jí</w:t>
      </w:r>
      <w:r w:rsidRPr="001F09DB">
        <w:rPr>
          <w:rFonts w:cstheme="minorHAnsi"/>
        </w:rPr>
        <w:t xml:space="preserve"> odstraněním vady</w:t>
      </w:r>
      <w:r w:rsidR="00814A37">
        <w:rPr>
          <w:rFonts w:cstheme="minorHAnsi"/>
        </w:rPr>
        <w:t>, popř. zahájením servisního zásahu</w:t>
      </w:r>
      <w:r w:rsidRPr="001F09DB">
        <w:rPr>
          <w:rFonts w:cstheme="minorHAnsi"/>
        </w:rPr>
        <w:t xml:space="preserve"> d</w:t>
      </w:r>
      <w:r w:rsidR="00C64E62">
        <w:rPr>
          <w:rFonts w:cstheme="minorHAnsi"/>
        </w:rPr>
        <w:t>o</w:t>
      </w:r>
      <w:r w:rsidR="00C64E62">
        <w:rPr>
          <w:rFonts w:cstheme="minorHAnsi"/>
        </w:rPr>
        <w:br/>
      </w:r>
      <w:r w:rsidRPr="001F09DB">
        <w:rPr>
          <w:rFonts w:cstheme="minorHAnsi"/>
        </w:rPr>
        <w:t>2 pracovních dní.</w:t>
      </w:r>
      <w:r w:rsidR="00317DE6">
        <w:rPr>
          <w:rFonts w:cstheme="minorHAnsi"/>
        </w:rPr>
        <w:t xml:space="preserve"> </w:t>
      </w:r>
      <w:r w:rsidR="00317DE6">
        <w:rPr>
          <w:rFonts w:cstheme="minorHAnsi"/>
        </w:rPr>
        <w:t>Reklamace pak bude prodávajícím vyřízena do 10 pracovních dní od jejího uplatnění.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V případě nutnosti delšího vypořádání reklamace, poskytne </w:t>
      </w:r>
      <w:r w:rsidR="00814A37">
        <w:rPr>
          <w:rFonts w:cstheme="minorHAnsi"/>
        </w:rPr>
        <w:t xml:space="preserve">po vzájemné dohodě </w:t>
      </w:r>
      <w:r w:rsidRPr="001F09DB">
        <w:rPr>
          <w:rFonts w:cstheme="minorHAnsi"/>
        </w:rPr>
        <w:t>prodávající kupujícímu po dobu vyřizování reklamace náhradní plnění v obdobném rozsahu, a to bez nároku na úhradu jakéhokoliv protiplnění a až do do</w:t>
      </w:r>
      <w:r w:rsidR="001F09DB" w:rsidRPr="001F09DB">
        <w:rPr>
          <w:rFonts w:cstheme="minorHAnsi"/>
        </w:rPr>
        <w:t>by vyřízení reklamace a uvedení</w:t>
      </w:r>
      <w:r w:rsidRPr="001F09DB">
        <w:rPr>
          <w:rFonts w:cstheme="minorHAnsi"/>
        </w:rPr>
        <w:t xml:space="preserve"> opraveného </w:t>
      </w:r>
      <w:r w:rsidR="001F09DB" w:rsidRPr="001F09DB">
        <w:rPr>
          <w:rFonts w:cstheme="minorHAnsi"/>
        </w:rPr>
        <w:t>zařízení</w:t>
      </w:r>
      <w:r w:rsidRPr="001F09DB">
        <w:rPr>
          <w:rFonts w:cstheme="minorHAnsi"/>
        </w:rPr>
        <w:t xml:space="preserve"> zpět do provozu v</w:t>
      </w:r>
      <w:r w:rsidR="001F09DB" w:rsidRPr="001F09DB">
        <w:rPr>
          <w:rFonts w:cstheme="minorHAnsi"/>
        </w:rPr>
        <w:t> místě provozu</w:t>
      </w:r>
      <w:r w:rsidRPr="001F09DB">
        <w:rPr>
          <w:rFonts w:cstheme="minorHAnsi"/>
        </w:rPr>
        <w:t xml:space="preserve"> (</w:t>
      </w:r>
      <w:r w:rsidR="00E71D41">
        <w:rPr>
          <w:rFonts w:cstheme="minorHAnsi"/>
        </w:rPr>
        <w:t xml:space="preserve">tj. </w:t>
      </w:r>
      <w:r w:rsidR="00E131B4" w:rsidRPr="00E131B4">
        <w:rPr>
          <w:rStyle w:val="tsubjname"/>
          <w:rFonts w:cstheme="minorHAnsi"/>
        </w:rPr>
        <w:t>ZŠ a MŠ Kpt. Otakara Jaroše Louny,</w:t>
      </w:r>
      <w:r w:rsidR="00E131B4">
        <w:rPr>
          <w:rStyle w:val="tsubjname"/>
          <w:rFonts w:cstheme="minorHAnsi"/>
        </w:rPr>
        <w:t xml:space="preserve"> </w:t>
      </w:r>
      <w:r w:rsidR="00E131B4" w:rsidRPr="00920A2C">
        <w:rPr>
          <w:rFonts w:cstheme="minorHAnsi"/>
        </w:rPr>
        <w:t>28. října 2173, 440 01 Louny</w:t>
      </w:r>
      <w:r w:rsidR="00E71D41">
        <w:rPr>
          <w:rFonts w:cstheme="minorHAnsi"/>
        </w:rPr>
        <w:t>)</w:t>
      </w:r>
      <w:r w:rsidR="001F09DB" w:rsidRPr="001F09DB">
        <w:rPr>
          <w:rFonts w:cstheme="minorHAnsi"/>
        </w:rPr>
        <w:t>. V</w:t>
      </w:r>
      <w:r w:rsidRPr="001F09DB">
        <w:rPr>
          <w:rFonts w:cstheme="minorHAnsi"/>
        </w:rPr>
        <w:t>eškeré náklady na řádné vyříz</w:t>
      </w:r>
      <w:r w:rsidR="001F09DB" w:rsidRPr="001F09DB">
        <w:rPr>
          <w:rFonts w:cstheme="minorHAnsi"/>
        </w:rPr>
        <w:t>ení reklamace přitom nese prodávající.</w:t>
      </w:r>
    </w:p>
    <w:p w:rsidR="005C29C5" w:rsidRPr="005C29C5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:rsidR="004A17C9" w:rsidRPr="005C29C5" w:rsidRDefault="004A17C9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  <w:color w:val="000000"/>
        </w:rPr>
        <w:t>Prodávající se zavazuje mít po celou dobu trvání této smlouvy uzavřenou pojistnou smlouvu, jejímž předmětem je pojištění odpovědnosti za škody způsob</w:t>
      </w:r>
      <w:r w:rsidR="00C64E62">
        <w:rPr>
          <w:rFonts w:cstheme="minorHAnsi"/>
          <w:color w:val="000000"/>
        </w:rPr>
        <w:t>ené třetím osobám v souvislosti</w:t>
      </w:r>
      <w:r w:rsidR="00C64E62">
        <w:rPr>
          <w:rFonts w:cstheme="minorHAnsi"/>
          <w:color w:val="000000"/>
        </w:rPr>
        <w:br/>
      </w:r>
      <w:r w:rsidRPr="005C29C5">
        <w:rPr>
          <w:rFonts w:cstheme="minorHAnsi"/>
          <w:color w:val="000000"/>
        </w:rPr>
        <w:t>s činnostmi prodávajícího s pojistným plněním nejméně ve výši kupní ceny této smlouvy</w:t>
      </w:r>
      <w:r w:rsidR="00E71D41" w:rsidRPr="005C29C5">
        <w:rPr>
          <w:rFonts w:cstheme="minorHAnsi"/>
          <w:color w:val="000000"/>
        </w:rPr>
        <w:t xml:space="preserve"> (v úrovni ceny vč.</w:t>
      </w:r>
      <w:r w:rsidRPr="005C29C5">
        <w:rPr>
          <w:rFonts w:cstheme="minorHAnsi"/>
          <w:color w:val="000000"/>
        </w:rPr>
        <w:t xml:space="preserve"> DPH). Prodávající je povinen předložit pojistnou smlouvu k nahlédnutí či předložit jiný doklad prokazující, že zhotovitel má uzavřenu pojistnou smlouvu, nejpozději však před podpisem kupní smlouvy. </w:t>
      </w:r>
      <w:r w:rsidR="003819C2" w:rsidRPr="005C29C5">
        <w:rPr>
          <w:rFonts w:cstheme="minorHAnsi"/>
          <w:color w:val="000000"/>
        </w:rPr>
        <w:t xml:space="preserve">Porušení této povinnosti zakládá právo </w:t>
      </w:r>
      <w:r w:rsidR="003819C2">
        <w:rPr>
          <w:rFonts w:cstheme="minorHAnsi"/>
          <w:color w:val="000000"/>
        </w:rPr>
        <w:t xml:space="preserve">kupujícího účtovat prodávajícímu smluvní pokutu ve výši </w:t>
      </w:r>
      <w:r w:rsidR="003819C2">
        <w:rPr>
          <w:rFonts w:cstheme="minorHAnsi"/>
          <w:szCs w:val="20"/>
        </w:rPr>
        <w:t>50.0</w:t>
      </w:r>
      <w:r w:rsidR="003819C2" w:rsidRPr="004508B6">
        <w:rPr>
          <w:rFonts w:cstheme="minorHAnsi"/>
          <w:szCs w:val="20"/>
        </w:rPr>
        <w:t>00,- Kč</w:t>
      </w:r>
      <w:r w:rsidR="003819C2" w:rsidRPr="005C29C5">
        <w:rPr>
          <w:rFonts w:cstheme="minorHAnsi"/>
          <w:color w:val="000000"/>
        </w:rPr>
        <w:t>.</w:t>
      </w:r>
    </w:p>
    <w:p w:rsidR="001F09DB" w:rsidRPr="00B9152F" w:rsidRDefault="001F09DB" w:rsidP="00B9152F">
      <w:pPr>
        <w:pStyle w:val="Odstavecseseznamem"/>
        <w:numPr>
          <w:ilvl w:val="0"/>
          <w:numId w:val="17"/>
        </w:numPr>
        <w:ind w:left="284" w:hanging="284"/>
        <w:jc w:val="both"/>
        <w:rPr>
          <w:szCs w:val="24"/>
        </w:rPr>
      </w:pPr>
      <w:r>
        <w:rPr>
          <w:rFonts w:cs="Calibri"/>
        </w:rPr>
        <w:t xml:space="preserve">Prodávající je </w:t>
      </w:r>
      <w:r w:rsidRPr="0069310B">
        <w:rPr>
          <w:rFonts w:cs="Calibri"/>
        </w:rPr>
        <w:t xml:space="preserve">zavázán k povinnosti </w:t>
      </w:r>
      <w:r w:rsidRPr="0069310B">
        <w:t xml:space="preserve">po dobu 10 let od </w:t>
      </w:r>
      <w:r>
        <w:t>finančního ukončení projektu</w:t>
      </w:r>
      <w:r w:rsidR="00816B16">
        <w:t>, minimálně však do 31. 12. 2031</w:t>
      </w:r>
      <w:r>
        <w:t xml:space="preserve">, </w:t>
      </w:r>
      <w:r>
        <w:rPr>
          <w:szCs w:val="24"/>
        </w:rPr>
        <w:t>archivovat originální vyhotovení Smlouvy včetně jejích</w:t>
      </w:r>
      <w:r w:rsidRPr="00C94664">
        <w:rPr>
          <w:szCs w:val="24"/>
        </w:rPr>
        <w:t xml:space="preserve"> dodatků, originály</w:t>
      </w:r>
      <w:r>
        <w:rPr>
          <w:szCs w:val="24"/>
        </w:rPr>
        <w:t xml:space="preserve"> účetních dokladů a dalších dokladů vztahujících </w:t>
      </w:r>
      <w:r w:rsidRPr="00C94664">
        <w:rPr>
          <w:szCs w:val="24"/>
        </w:rPr>
        <w:t>s</w:t>
      </w:r>
      <w:r>
        <w:rPr>
          <w:szCs w:val="24"/>
        </w:rPr>
        <w:t>e k realizaci předmětu této S</w:t>
      </w:r>
      <w:r w:rsidRPr="00C94664">
        <w:rPr>
          <w:szCs w:val="24"/>
        </w:rPr>
        <w:t>mlouvy</w:t>
      </w:r>
      <w:r>
        <w:rPr>
          <w:szCs w:val="24"/>
        </w:rPr>
        <w:t xml:space="preserve">. </w:t>
      </w:r>
      <w:r w:rsidRPr="00C94664">
        <w:rPr>
          <w:szCs w:val="24"/>
        </w:rPr>
        <w:t>Po tuto dob</w:t>
      </w:r>
      <w:r>
        <w:rPr>
          <w:szCs w:val="24"/>
        </w:rPr>
        <w:t xml:space="preserve">u bude dodavatel povinen umožnit osobám oprávněným k výkonu kontroly projektů </w:t>
      </w:r>
      <w:r w:rsidRPr="00C94664">
        <w:rPr>
          <w:szCs w:val="24"/>
        </w:rPr>
        <w:t>provést kontrolu doklad</w:t>
      </w:r>
      <w:r>
        <w:rPr>
          <w:szCs w:val="24"/>
        </w:rPr>
        <w:t>ů souvisejících s plněním této S</w:t>
      </w:r>
      <w:r w:rsidRPr="00C94664">
        <w:rPr>
          <w:szCs w:val="24"/>
        </w:rPr>
        <w:t>mlouvy.</w:t>
      </w:r>
    </w:p>
    <w:p w:rsidR="00065E86" w:rsidRDefault="00065E86">
      <w:pPr>
        <w:rPr>
          <w:b/>
        </w:rPr>
      </w:pPr>
    </w:p>
    <w:p w:rsidR="00B47DAB" w:rsidRPr="00B47DAB" w:rsidRDefault="00B47DAB" w:rsidP="00B47DAB">
      <w:pPr>
        <w:jc w:val="center"/>
        <w:rPr>
          <w:rFonts w:cs="Arial"/>
          <w:b/>
        </w:rPr>
      </w:pPr>
      <w:r w:rsidRPr="00B47DAB">
        <w:rPr>
          <w:b/>
        </w:rPr>
        <w:t>VI</w:t>
      </w:r>
      <w:r w:rsidR="00125A1B">
        <w:rPr>
          <w:b/>
        </w:rPr>
        <w:t>I</w:t>
      </w:r>
      <w:r w:rsidRPr="00B47DAB">
        <w:rPr>
          <w:b/>
        </w:rPr>
        <w:t xml:space="preserve">. </w:t>
      </w:r>
      <w:r w:rsidR="001F09DB">
        <w:rPr>
          <w:b/>
        </w:rPr>
        <w:t>Závěrečná ustanovení</w:t>
      </w:r>
    </w:p>
    <w:p w:rsidR="00C3207C" w:rsidRDefault="00BC5C86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 xml:space="preserve">Tato smlouva byla vyhotovena </w:t>
      </w:r>
      <w:r>
        <w:rPr>
          <w:rFonts w:asciiTheme="minorHAnsi" w:hAnsiTheme="minorHAnsi" w:cstheme="minorHAnsi"/>
          <w:sz w:val="22"/>
          <w:szCs w:val="22"/>
        </w:rPr>
        <w:t xml:space="preserve">v elektronické podobě a následně </w:t>
      </w:r>
      <w:r w:rsidRPr="0053064A">
        <w:rPr>
          <w:rFonts w:asciiTheme="minorHAnsi" w:hAnsiTheme="minorHAnsi" w:cstheme="minorHAnsi"/>
          <w:sz w:val="22"/>
          <w:szCs w:val="22"/>
        </w:rPr>
        <w:t xml:space="preserve">opatřena </w:t>
      </w:r>
      <w:r w:rsidRPr="0053064A">
        <w:rPr>
          <w:rFonts w:asciiTheme="minorHAnsi" w:hAnsiTheme="minorHAnsi" w:cstheme="minorHAnsi"/>
          <w:iCs/>
          <w:sz w:val="22"/>
          <w:szCs w:val="22"/>
        </w:rPr>
        <w:t>kvalifikovanými elektronickými podpisy oprávněných zástupců obou smluvních stran.</w:t>
      </w:r>
      <w:bookmarkStart w:id="0" w:name="_GoBack"/>
      <w:bookmarkEnd w:id="0"/>
    </w:p>
    <w:p w:rsidR="00D617C7" w:rsidRDefault="00D617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vč. všech příloh není obchodním tajemstvím a podléhá zákonu č. 106/1999 Sb.</w:t>
      </w:r>
      <w:r w:rsidR="00C64E62">
        <w:rPr>
          <w:rFonts w:asciiTheme="minorHAnsi" w:hAnsiTheme="minorHAnsi" w:cstheme="minorHAnsi"/>
          <w:sz w:val="22"/>
          <w:szCs w:val="22"/>
        </w:rPr>
        <w:t>,</w:t>
      </w:r>
      <w:r w:rsidR="00C64E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o svobodném přístupu k informacím, v platném znění, a </w:t>
      </w:r>
      <w:r w:rsidR="003F0421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zveřejněna </w:t>
      </w:r>
      <w:r w:rsidR="005C29C5">
        <w:rPr>
          <w:rFonts w:asciiTheme="minorHAnsi" w:hAnsiTheme="minorHAnsi" w:cstheme="minorHAnsi"/>
          <w:sz w:val="22"/>
          <w:szCs w:val="22"/>
        </w:rPr>
        <w:t xml:space="preserve">na </w:t>
      </w:r>
      <w:r w:rsidR="008607FD">
        <w:rPr>
          <w:rFonts w:asciiTheme="minorHAnsi" w:hAnsiTheme="minorHAnsi" w:cstheme="minorHAnsi"/>
          <w:sz w:val="22"/>
          <w:szCs w:val="22"/>
        </w:rPr>
        <w:t>p</w:t>
      </w:r>
      <w:r w:rsidR="005C29C5">
        <w:rPr>
          <w:rFonts w:asciiTheme="minorHAnsi" w:hAnsiTheme="minorHAnsi" w:cstheme="minorHAnsi"/>
          <w:sz w:val="22"/>
          <w:szCs w:val="22"/>
        </w:rPr>
        <w:t>rofilu zadavatele kupujícího</w:t>
      </w:r>
      <w:r w:rsidR="008607FD">
        <w:rPr>
          <w:rFonts w:asciiTheme="minorHAnsi" w:hAnsiTheme="minorHAnsi" w:cstheme="minorHAnsi"/>
          <w:sz w:val="22"/>
          <w:szCs w:val="22"/>
        </w:rPr>
        <w:t>.</w:t>
      </w:r>
    </w:p>
    <w:p w:rsidR="008607FD" w:rsidRPr="00D57EF8" w:rsidRDefault="00D57EF8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0"/>
          <w:szCs w:val="22"/>
        </w:rPr>
      </w:pPr>
      <w:r w:rsidRPr="00D57EF8">
        <w:rPr>
          <w:rFonts w:asciiTheme="minorHAnsi" w:hAnsiTheme="minorHAnsi" w:cstheme="minorHAnsi"/>
          <w:sz w:val="22"/>
        </w:rPr>
        <w:t>Smlouva nabývá platnosti dnem jejího podpisu oprávněnými zástupci obou smluvních stran a účinnosti jejím uveřejněním podle zákona č. 340/2015 Sb., o registru smluv, v platném znění.</w:t>
      </w:r>
      <w:r w:rsidR="00C64E62">
        <w:rPr>
          <w:rFonts w:asciiTheme="minorHAnsi" w:hAnsiTheme="minorHAnsi" w:cstheme="minorHAnsi"/>
          <w:sz w:val="22"/>
        </w:rPr>
        <w:t xml:space="preserve"> Příslušné uveřejnění zajistí kupující.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V ostatním se řídí práva a povinnosti smluvních stran příslušnými ustanoveními občanského zákoníku (zák. č. 89/2012 Sb.).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Dle § 2 e) zákona č.</w:t>
      </w:r>
      <w:r w:rsidR="00460B05">
        <w:rPr>
          <w:rFonts w:asciiTheme="minorHAnsi" w:hAnsiTheme="minorHAnsi" w:cstheme="minorHAnsi"/>
          <w:sz w:val="22"/>
          <w:szCs w:val="22"/>
        </w:rPr>
        <w:t xml:space="preserve"> </w:t>
      </w:r>
      <w:r w:rsidRPr="00C3207C">
        <w:rPr>
          <w:rFonts w:asciiTheme="minorHAnsi" w:hAnsiTheme="minorHAnsi" w:cstheme="minorHAnsi"/>
          <w:sz w:val="22"/>
          <w:szCs w:val="22"/>
        </w:rPr>
        <w:t>320/2001 Sb.</w:t>
      </w:r>
      <w:r w:rsidR="00460B05">
        <w:rPr>
          <w:rFonts w:asciiTheme="minorHAnsi" w:hAnsiTheme="minorHAnsi" w:cstheme="minorHAnsi"/>
          <w:sz w:val="22"/>
          <w:szCs w:val="22"/>
        </w:rPr>
        <w:t>,</w:t>
      </w:r>
      <w:r w:rsidRPr="00C3207C">
        <w:rPr>
          <w:rFonts w:asciiTheme="minorHAnsi" w:hAnsiTheme="minorHAnsi" w:cstheme="minorHAnsi"/>
          <w:sz w:val="22"/>
          <w:szCs w:val="22"/>
        </w:rPr>
        <w:t xml:space="preserve"> o finanční kontrole ve veřejné správě je prodávající osobou povinnou spolupůsobit při výkonu finanční kontroly.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 xml:space="preserve">Obě smluvní strany jsou vázány podmínkami uvedenými v zadávacích podkladech pro </w:t>
      </w:r>
      <w:r w:rsidR="008607FD">
        <w:rPr>
          <w:rFonts w:asciiTheme="minorHAnsi" w:hAnsiTheme="minorHAnsi" w:cstheme="minorHAnsi"/>
          <w:sz w:val="22"/>
          <w:szCs w:val="22"/>
        </w:rPr>
        <w:t>podlimitní veřejnou zakázku</w:t>
      </w:r>
      <w:r w:rsidRPr="00C3207C">
        <w:rPr>
          <w:rFonts w:asciiTheme="minorHAnsi" w:hAnsiTheme="minorHAnsi" w:cstheme="minorHAnsi"/>
          <w:sz w:val="22"/>
          <w:szCs w:val="22"/>
        </w:rPr>
        <w:t>, ze které vzešla tato smlouva.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Změna této smlouvy (vč. jejích příloh) je možná pouze na základě písemné dohody smluvních stran.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Smluvní strany prohlašují, že tato Smlouva odpovídá jejich pravé, svobodné, vážné a určité vůli a že se na jednotlivých ustanoveních této smlouvy dohodly jasně a určitě tak, aby z tohoto důvodu mezi nimi nedošlo ke sporům.</w:t>
      </w:r>
    </w:p>
    <w:p w:rsidR="005D57A9" w:rsidRPr="005D57A9" w:rsidRDefault="005D57A9" w:rsidP="00C3207C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 ……………</w:t>
            </w:r>
            <w:r w:rsidR="00E131B4">
              <w:rPr>
                <w:rFonts w:cs="Arial"/>
              </w:rPr>
              <w:t>………………</w:t>
            </w:r>
            <w:r w:rsidRPr="00BC613E">
              <w:rPr>
                <w:rFonts w:cs="Arial"/>
              </w:rPr>
              <w:t xml:space="preserve"> dne …………………</w:t>
            </w:r>
          </w:p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826E83" w:rsidRDefault="00826E83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C3207C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801E86" w:rsidRPr="00BC613E" w:rsidRDefault="00801E86" w:rsidP="00E131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V …………………</w:t>
            </w:r>
            <w:r w:rsidR="00E131B4">
              <w:rPr>
                <w:rFonts w:cs="Arial"/>
              </w:rPr>
              <w:t xml:space="preserve">…………… </w:t>
            </w:r>
            <w:r w:rsidRPr="00BC613E">
              <w:rPr>
                <w:rFonts w:cs="Arial"/>
              </w:rPr>
              <w:t>dne ………………</w:t>
            </w:r>
            <w:r w:rsidR="00E131B4">
              <w:rPr>
                <w:rFonts w:cs="Arial"/>
              </w:rPr>
              <w:t>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801E86" w:rsidRPr="00263945" w:rsidRDefault="00E131B4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Calibri" w:hAnsi="Calibri" w:cs="Arial"/>
                <w:b/>
                <w:szCs w:val="20"/>
              </w:rPr>
              <w:t>Mgr. Vlastimil Lisse</w:t>
            </w:r>
          </w:p>
          <w:p w:rsidR="00103F74" w:rsidRPr="00826E83" w:rsidRDefault="00C1007A" w:rsidP="00263945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ředitel školy</w:t>
            </w:r>
          </w:p>
        </w:tc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801E86" w:rsidRPr="00BC613E" w:rsidRDefault="00826E83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A5969">
              <w:rPr>
                <w:rFonts w:cs="Arial"/>
                <w:highlight w:val="yellow"/>
              </w:rPr>
              <w:t>…</w:t>
            </w:r>
          </w:p>
          <w:p w:rsidR="00801E86" w:rsidRPr="00BC613E" w:rsidRDefault="00826E83" w:rsidP="00826E8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A5969">
              <w:rPr>
                <w:rFonts w:cs="Arial"/>
                <w:highlight w:val="yellow"/>
              </w:rPr>
              <w:t>…</w:t>
            </w:r>
          </w:p>
        </w:tc>
      </w:tr>
    </w:tbl>
    <w:p w:rsidR="00994BF2" w:rsidRDefault="00994BF2" w:rsidP="00826E83">
      <w:pPr>
        <w:widowControl w:val="0"/>
        <w:autoSpaceDE w:val="0"/>
        <w:snapToGrid w:val="0"/>
      </w:pPr>
    </w:p>
    <w:p w:rsidR="00185A7D" w:rsidRPr="00EB45A1" w:rsidRDefault="00185A7D" w:rsidP="00185A7D">
      <w:pPr>
        <w:tabs>
          <w:tab w:val="left" w:pos="1282"/>
        </w:tabs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Příloha</w:t>
      </w:r>
      <w:r w:rsidRPr="00EB45A1">
        <w:rPr>
          <w:rFonts w:cstheme="minorHAnsi"/>
          <w:b/>
          <w:szCs w:val="20"/>
        </w:rPr>
        <w:t xml:space="preserve"> smlouvy:</w:t>
      </w:r>
    </w:p>
    <w:p w:rsidR="00185A7D" w:rsidRPr="00EB45A1" w:rsidRDefault="00185A7D" w:rsidP="00185A7D">
      <w:pPr>
        <w:tabs>
          <w:tab w:val="left" w:pos="1282"/>
        </w:tabs>
        <w:rPr>
          <w:rFonts w:cstheme="minorHAnsi"/>
          <w:szCs w:val="20"/>
        </w:rPr>
      </w:pPr>
      <w:r w:rsidRPr="00EB45A1">
        <w:rPr>
          <w:rFonts w:cstheme="minorHAnsi"/>
          <w:szCs w:val="20"/>
        </w:rPr>
        <w:t xml:space="preserve">Příloha č. 1: </w:t>
      </w:r>
      <w:r w:rsidR="00E17613">
        <w:rPr>
          <w:rFonts w:cstheme="minorHAnsi"/>
          <w:szCs w:val="20"/>
        </w:rPr>
        <w:t>Položkový rozpočet</w:t>
      </w:r>
    </w:p>
    <w:sectPr w:rsidR="00185A7D" w:rsidRPr="00EB45A1" w:rsidSect="00113472">
      <w:headerReference w:type="default" r:id="rId9"/>
      <w:footerReference w:type="default" r:id="rId10"/>
      <w:pgSz w:w="11906" w:h="16838"/>
      <w:pgMar w:top="153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B0" w:rsidRDefault="002465B0" w:rsidP="00994BF2">
      <w:r>
        <w:separator/>
      </w:r>
    </w:p>
  </w:endnote>
  <w:endnote w:type="continuationSeparator" w:id="0">
    <w:p w:rsidR="002465B0" w:rsidRDefault="002465B0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25475"/>
      <w:docPartObj>
        <w:docPartGallery w:val="Page Numbers (Bottom of Page)"/>
        <w:docPartUnique/>
      </w:docPartObj>
    </w:sdtPr>
    <w:sdtEndPr/>
    <w:sdtContent>
      <w:p w:rsidR="00D477AE" w:rsidRDefault="00D477AE" w:rsidP="00D477AE">
        <w:pPr>
          <w:pStyle w:val="Zpat"/>
          <w:jc w:val="center"/>
        </w:pPr>
        <w:r>
          <w:t xml:space="preserve">str. </w:t>
        </w:r>
        <w:r w:rsidR="002E663A">
          <w:fldChar w:fldCharType="begin"/>
        </w:r>
        <w:r>
          <w:instrText>PAGE   \* MERGEFORMAT</w:instrText>
        </w:r>
        <w:r w:rsidR="002E663A">
          <w:fldChar w:fldCharType="separate"/>
        </w:r>
        <w:r w:rsidR="002465B0">
          <w:rPr>
            <w:noProof/>
          </w:rPr>
          <w:t>1</w:t>
        </w:r>
        <w:r w:rsidR="002E663A">
          <w:fldChar w:fldCharType="end"/>
        </w:r>
      </w:p>
    </w:sdtContent>
  </w:sdt>
  <w:p w:rsidR="00994BF2" w:rsidRDefault="00D477AE" w:rsidP="00D477AE">
    <w:pPr>
      <w:pStyle w:val="Zpat"/>
    </w:pP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B0" w:rsidRDefault="002465B0" w:rsidP="00994BF2">
      <w:r>
        <w:separator/>
      </w:r>
    </w:p>
  </w:footnote>
  <w:footnote w:type="continuationSeparator" w:id="0">
    <w:p w:rsidR="002465B0" w:rsidRDefault="002465B0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6D" w:rsidRDefault="00544A71" w:rsidP="00113472">
    <w:pPr>
      <w:pStyle w:val="Zhlav"/>
      <w:tabs>
        <w:tab w:val="clear" w:pos="4536"/>
        <w:tab w:val="clear" w:pos="9072"/>
        <w:tab w:val="left" w:pos="1216"/>
      </w:tabs>
    </w:pPr>
    <w:r w:rsidRPr="00544A71">
      <w:rPr>
        <w:noProof/>
        <w:lang w:eastAsia="cs-CZ"/>
      </w:rPr>
      <w:drawing>
        <wp:inline distT="0" distB="0" distL="0" distR="0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6E"/>
    <w:multiLevelType w:val="hybridMultilevel"/>
    <w:tmpl w:val="B9EE89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34667A"/>
    <w:multiLevelType w:val="hybridMultilevel"/>
    <w:tmpl w:val="317A8B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44875"/>
    <w:multiLevelType w:val="hybridMultilevel"/>
    <w:tmpl w:val="C7A80B6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5958EC"/>
    <w:multiLevelType w:val="hybridMultilevel"/>
    <w:tmpl w:val="7F54444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1E183259"/>
    <w:multiLevelType w:val="hybridMultilevel"/>
    <w:tmpl w:val="7690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9305B30"/>
    <w:multiLevelType w:val="hybridMultilevel"/>
    <w:tmpl w:val="033C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2">
    <w:nsid w:val="39A93E30"/>
    <w:multiLevelType w:val="hybridMultilevel"/>
    <w:tmpl w:val="EEBA14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31DDF"/>
    <w:multiLevelType w:val="hybridMultilevel"/>
    <w:tmpl w:val="6A22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166F0"/>
    <w:multiLevelType w:val="hybridMultilevel"/>
    <w:tmpl w:val="97341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22D56A8"/>
    <w:multiLevelType w:val="hybridMultilevel"/>
    <w:tmpl w:val="5CA47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22485E"/>
    <w:multiLevelType w:val="hybridMultilevel"/>
    <w:tmpl w:val="20EE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D6DB4"/>
    <w:multiLevelType w:val="hybridMultilevel"/>
    <w:tmpl w:val="DEBEB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80CB3"/>
    <w:multiLevelType w:val="hybridMultilevel"/>
    <w:tmpl w:val="F37E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9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B0DF7"/>
    <w:multiLevelType w:val="hybridMultilevel"/>
    <w:tmpl w:val="DA242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77894"/>
    <w:multiLevelType w:val="hybridMultilevel"/>
    <w:tmpl w:val="AB5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D59C6"/>
    <w:multiLevelType w:val="hybridMultilevel"/>
    <w:tmpl w:val="B5C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7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6"/>
  </w:num>
  <w:num w:numId="10">
    <w:abstractNumId w:val="26"/>
  </w:num>
  <w:num w:numId="11">
    <w:abstractNumId w:val="14"/>
  </w:num>
  <w:num w:numId="12">
    <w:abstractNumId w:val="3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20"/>
  </w:num>
  <w:num w:numId="18">
    <w:abstractNumId w:val="25"/>
  </w:num>
  <w:num w:numId="19">
    <w:abstractNumId w:val="1"/>
  </w:num>
  <w:num w:numId="20">
    <w:abstractNumId w:val="23"/>
  </w:num>
  <w:num w:numId="21">
    <w:abstractNumId w:val="13"/>
  </w:num>
  <w:num w:numId="22">
    <w:abstractNumId w:val="10"/>
  </w:num>
  <w:num w:numId="23">
    <w:abstractNumId w:val="22"/>
  </w:num>
  <w:num w:numId="24">
    <w:abstractNumId w:val="15"/>
  </w:num>
  <w:num w:numId="25">
    <w:abstractNumId w:val="24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F2"/>
    <w:rsid w:val="00023943"/>
    <w:rsid w:val="00061747"/>
    <w:rsid w:val="00065E86"/>
    <w:rsid w:val="00093309"/>
    <w:rsid w:val="000A77CE"/>
    <w:rsid w:val="000F42E9"/>
    <w:rsid w:val="001032F6"/>
    <w:rsid w:val="00103F74"/>
    <w:rsid w:val="00113472"/>
    <w:rsid w:val="00115C67"/>
    <w:rsid w:val="00125A1B"/>
    <w:rsid w:val="00133426"/>
    <w:rsid w:val="0014009F"/>
    <w:rsid w:val="001449D5"/>
    <w:rsid w:val="0015475C"/>
    <w:rsid w:val="00183DE3"/>
    <w:rsid w:val="00185A7D"/>
    <w:rsid w:val="001A693C"/>
    <w:rsid w:val="001B0D22"/>
    <w:rsid w:val="001F09DB"/>
    <w:rsid w:val="001F7132"/>
    <w:rsid w:val="00217B9E"/>
    <w:rsid w:val="002465B0"/>
    <w:rsid w:val="00263945"/>
    <w:rsid w:val="002B63CB"/>
    <w:rsid w:val="002D1E80"/>
    <w:rsid w:val="002E2600"/>
    <w:rsid w:val="002E663A"/>
    <w:rsid w:val="003100F6"/>
    <w:rsid w:val="00317DE6"/>
    <w:rsid w:val="00332E5E"/>
    <w:rsid w:val="003552A6"/>
    <w:rsid w:val="00375389"/>
    <w:rsid w:val="00375DAD"/>
    <w:rsid w:val="003819C2"/>
    <w:rsid w:val="00394DFC"/>
    <w:rsid w:val="003B18DC"/>
    <w:rsid w:val="003E3DC4"/>
    <w:rsid w:val="003F0421"/>
    <w:rsid w:val="00402CA9"/>
    <w:rsid w:val="00426535"/>
    <w:rsid w:val="004459A4"/>
    <w:rsid w:val="004508B6"/>
    <w:rsid w:val="00460B05"/>
    <w:rsid w:val="00496E29"/>
    <w:rsid w:val="004A17C9"/>
    <w:rsid w:val="004B6D25"/>
    <w:rsid w:val="004F2847"/>
    <w:rsid w:val="004F30A0"/>
    <w:rsid w:val="00505F84"/>
    <w:rsid w:val="00516B42"/>
    <w:rsid w:val="005211EE"/>
    <w:rsid w:val="00542B40"/>
    <w:rsid w:val="00544A71"/>
    <w:rsid w:val="00564236"/>
    <w:rsid w:val="0057156D"/>
    <w:rsid w:val="00582D1F"/>
    <w:rsid w:val="005C096F"/>
    <w:rsid w:val="005C29C5"/>
    <w:rsid w:val="005D57A9"/>
    <w:rsid w:val="005E35E8"/>
    <w:rsid w:val="005F24CB"/>
    <w:rsid w:val="00601FDD"/>
    <w:rsid w:val="00603B4B"/>
    <w:rsid w:val="00640DCD"/>
    <w:rsid w:val="00642B49"/>
    <w:rsid w:val="00646DC7"/>
    <w:rsid w:val="0066562F"/>
    <w:rsid w:val="006676EE"/>
    <w:rsid w:val="006A38C6"/>
    <w:rsid w:val="006B3B59"/>
    <w:rsid w:val="006B505D"/>
    <w:rsid w:val="006C3E77"/>
    <w:rsid w:val="006C46BD"/>
    <w:rsid w:val="006E39DB"/>
    <w:rsid w:val="00721F79"/>
    <w:rsid w:val="00784B44"/>
    <w:rsid w:val="0078568E"/>
    <w:rsid w:val="00795B63"/>
    <w:rsid w:val="007A186E"/>
    <w:rsid w:val="007C3873"/>
    <w:rsid w:val="00801E86"/>
    <w:rsid w:val="00814A37"/>
    <w:rsid w:val="00816B16"/>
    <w:rsid w:val="00820095"/>
    <w:rsid w:val="008213AC"/>
    <w:rsid w:val="0082197C"/>
    <w:rsid w:val="00825BB0"/>
    <w:rsid w:val="00826E83"/>
    <w:rsid w:val="00840AF0"/>
    <w:rsid w:val="00846B54"/>
    <w:rsid w:val="008607FD"/>
    <w:rsid w:val="00864975"/>
    <w:rsid w:val="008842EA"/>
    <w:rsid w:val="00887B1E"/>
    <w:rsid w:val="00891DDC"/>
    <w:rsid w:val="008A33B6"/>
    <w:rsid w:val="008A54A6"/>
    <w:rsid w:val="008C5D8E"/>
    <w:rsid w:val="00902E1E"/>
    <w:rsid w:val="00906C0B"/>
    <w:rsid w:val="00916C92"/>
    <w:rsid w:val="009452D1"/>
    <w:rsid w:val="00980E70"/>
    <w:rsid w:val="00986EA6"/>
    <w:rsid w:val="00994BF2"/>
    <w:rsid w:val="009B3C5F"/>
    <w:rsid w:val="009E0858"/>
    <w:rsid w:val="009F1C7C"/>
    <w:rsid w:val="00A0277E"/>
    <w:rsid w:val="00A15B92"/>
    <w:rsid w:val="00A41A19"/>
    <w:rsid w:val="00A526DF"/>
    <w:rsid w:val="00A61675"/>
    <w:rsid w:val="00A84E8F"/>
    <w:rsid w:val="00A92BEF"/>
    <w:rsid w:val="00AA5969"/>
    <w:rsid w:val="00AA6695"/>
    <w:rsid w:val="00AF0833"/>
    <w:rsid w:val="00AF0B63"/>
    <w:rsid w:val="00AF7AD9"/>
    <w:rsid w:val="00B367A2"/>
    <w:rsid w:val="00B376F3"/>
    <w:rsid w:val="00B47DAB"/>
    <w:rsid w:val="00B51ED7"/>
    <w:rsid w:val="00B767EF"/>
    <w:rsid w:val="00B9152F"/>
    <w:rsid w:val="00B93D5C"/>
    <w:rsid w:val="00B97460"/>
    <w:rsid w:val="00BC5C86"/>
    <w:rsid w:val="00BC613E"/>
    <w:rsid w:val="00BE0A4F"/>
    <w:rsid w:val="00BE76E8"/>
    <w:rsid w:val="00BF0079"/>
    <w:rsid w:val="00C06DCB"/>
    <w:rsid w:val="00C1007A"/>
    <w:rsid w:val="00C3207C"/>
    <w:rsid w:val="00C46749"/>
    <w:rsid w:val="00C56D11"/>
    <w:rsid w:val="00C613B5"/>
    <w:rsid w:val="00C64E62"/>
    <w:rsid w:val="00CA545F"/>
    <w:rsid w:val="00CF16E8"/>
    <w:rsid w:val="00CF2693"/>
    <w:rsid w:val="00D477AE"/>
    <w:rsid w:val="00D57EF8"/>
    <w:rsid w:val="00D617C7"/>
    <w:rsid w:val="00D67C16"/>
    <w:rsid w:val="00D7357F"/>
    <w:rsid w:val="00D802CA"/>
    <w:rsid w:val="00DD184E"/>
    <w:rsid w:val="00DE4681"/>
    <w:rsid w:val="00DE66FD"/>
    <w:rsid w:val="00DF1E42"/>
    <w:rsid w:val="00DF731D"/>
    <w:rsid w:val="00E12731"/>
    <w:rsid w:val="00E131B4"/>
    <w:rsid w:val="00E17613"/>
    <w:rsid w:val="00E3474C"/>
    <w:rsid w:val="00E533C1"/>
    <w:rsid w:val="00E71D41"/>
    <w:rsid w:val="00EA7F41"/>
    <w:rsid w:val="00EE6F50"/>
    <w:rsid w:val="00F05C83"/>
    <w:rsid w:val="00F17F8F"/>
    <w:rsid w:val="00F55402"/>
    <w:rsid w:val="00F66025"/>
    <w:rsid w:val="00F80CB4"/>
    <w:rsid w:val="00F836C6"/>
    <w:rsid w:val="00F9062E"/>
    <w:rsid w:val="00FE3574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7E"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6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6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Justified">
    <w:name w:val="Normal (Justified)"/>
    <w:basedOn w:val="Normln"/>
    <w:rsid w:val="00E131B4"/>
    <w:pPr>
      <w:widowControl w:val="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zslouny@3zslou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1823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Tomáš Kočí</cp:lastModifiedBy>
  <cp:revision>86</cp:revision>
  <cp:lastPrinted>2017-05-02T12:22:00Z</cp:lastPrinted>
  <dcterms:created xsi:type="dcterms:W3CDTF">2015-01-12T08:48:00Z</dcterms:created>
  <dcterms:modified xsi:type="dcterms:W3CDTF">2021-05-10T08:21:00Z</dcterms:modified>
</cp:coreProperties>
</file>