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15C4870A" w14:textId="4AB54232" w:rsidR="00E0585E" w:rsidRPr="00C640EB" w:rsidRDefault="00E0585E" w:rsidP="00E0585E">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7D496E" w:rsidRPr="007D496E">
        <w:rPr>
          <w:rFonts w:ascii="Book Antiqua" w:eastAsia="Calibri" w:hAnsi="Book Antiqua" w:cs="Segoe UI"/>
          <w:b/>
          <w:sz w:val="22"/>
          <w:szCs w:val="24"/>
        </w:rPr>
        <w:t>Tenisové zázemí - stavební příprava</w:t>
      </w:r>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721E92CF" w14:textId="3DA821BE"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lastRenderedPageBreak/>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C640EB">
        <w:rPr>
          <w:rFonts w:ascii="Book Antiqua" w:hAnsi="Book Antiqua" w:cs="Segoe UI"/>
          <w:color w:val="000000"/>
        </w:rPr>
        <w:t>ii</w:t>
      </w:r>
      <w:proofErr w:type="spellEnd"/>
      <w:r w:rsidRPr="00C640EB">
        <w:rPr>
          <w:rFonts w:ascii="Book Antiqua" w:hAnsi="Book Antiqua" w:cs="Segoe UI"/>
          <w:color w:val="000000"/>
        </w:rPr>
        <w:t xml:space="preserve">)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2F0584">
      <w:headerReference w:type="first" r:id="rId8"/>
      <w:pgSz w:w="11906" w:h="16838" w:code="9"/>
      <w:pgMar w:top="1417" w:right="1417" w:bottom="1417" w:left="1417"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0D55" w14:textId="0B4B79C1" w:rsidR="002F0584" w:rsidRDefault="002F0584">
    <w:pPr>
      <w:pStyle w:val="Zhlav"/>
    </w:pPr>
    <w:r>
      <w:rPr>
        <w:noProof/>
      </w:rPr>
      <w:drawing>
        <wp:anchor distT="0" distB="0" distL="114300" distR="114300" simplePos="0" relativeHeight="251659264" behindDoc="0" locked="0" layoutInCell="1" allowOverlap="1" wp14:anchorId="698A8E71" wp14:editId="03878123">
          <wp:simplePos x="0" y="0"/>
          <wp:positionH relativeFrom="column">
            <wp:posOffset>0</wp:posOffset>
          </wp:positionH>
          <wp:positionV relativeFrom="page">
            <wp:posOffset>360045</wp:posOffset>
          </wp:positionV>
          <wp:extent cx="2160000" cy="478800"/>
          <wp:effectExtent l="0" t="0" r="0" b="0"/>
          <wp:wrapNone/>
          <wp:docPr id="1543171483" name="Obrázek 1543171483" descr="Obsah obrázku Grafika, snímek obrazovky, grafický design, Písmo&#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Grafika, snímek obrazovky, grafický design, Písm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584"/>
    <w:rsid w:val="002F0FC1"/>
    <w:rsid w:val="002F14D4"/>
    <w:rsid w:val="002F3478"/>
    <w:rsid w:val="00303026"/>
    <w:rsid w:val="00304DED"/>
    <w:rsid w:val="00306E33"/>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40A3"/>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496E"/>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37B"/>
    <w:rsid w:val="008D74EB"/>
    <w:rsid w:val="008E365E"/>
    <w:rsid w:val="008E46C0"/>
    <w:rsid w:val="008E4FC1"/>
    <w:rsid w:val="008F03DF"/>
    <w:rsid w:val="008F0E7B"/>
    <w:rsid w:val="008F2DB9"/>
    <w:rsid w:val="008F5E2C"/>
    <w:rsid w:val="009006B1"/>
    <w:rsid w:val="00904003"/>
    <w:rsid w:val="0090420C"/>
    <w:rsid w:val="009044CD"/>
    <w:rsid w:val="00904853"/>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30F6"/>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6AAE"/>
    <w:rsid w:val="00CC054B"/>
    <w:rsid w:val="00CC091C"/>
    <w:rsid w:val="00CC218F"/>
    <w:rsid w:val="00CC22D2"/>
    <w:rsid w:val="00CC5640"/>
    <w:rsid w:val="00CD2B0B"/>
    <w:rsid w:val="00CD36B5"/>
    <w:rsid w:val="00CD37DB"/>
    <w:rsid w:val="00CD5DEE"/>
    <w:rsid w:val="00CE0BA1"/>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3362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5</cp:revision>
  <dcterms:created xsi:type="dcterms:W3CDTF">2024-07-23T19:00:00Z</dcterms:created>
  <dcterms:modified xsi:type="dcterms:W3CDTF">2024-08-03T18:35:00Z</dcterms:modified>
</cp:coreProperties>
</file>