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216" w:rsidRDefault="00464216" w:rsidP="00B01CFA"/>
    <w:p w:rsidR="00E07F6B" w:rsidRDefault="00E07F6B" w:rsidP="00B01CFA"/>
    <w:p w:rsidR="00E07F6B" w:rsidRDefault="00E07F6B" w:rsidP="00B01CFA"/>
    <w:p w:rsidR="00E07F6B" w:rsidRDefault="00E07F6B" w:rsidP="00B01CFA"/>
    <w:p w:rsidR="00E07F6B" w:rsidRDefault="00E07F6B" w:rsidP="00B01CFA"/>
    <w:p w:rsidR="00E07F6B" w:rsidRDefault="00E07F6B" w:rsidP="00B01CFA"/>
    <w:p w:rsidR="00E07F6B" w:rsidRDefault="00E07F6B" w:rsidP="00B01CFA"/>
    <w:p w:rsidR="00E07F6B" w:rsidRDefault="00E07F6B" w:rsidP="00B01CFA"/>
    <w:p w:rsidR="00E07F6B" w:rsidRDefault="00E07F6B" w:rsidP="00B01CFA"/>
    <w:p w:rsidR="00E07F6B" w:rsidRDefault="00E07F6B" w:rsidP="00B01CFA"/>
    <w:p w:rsidR="00E07F6B" w:rsidRDefault="00E07F6B" w:rsidP="00E07F6B">
      <w:pPr>
        <w:jc w:val="right"/>
      </w:pPr>
      <w:r w:rsidRPr="00E07F6B">
        <w:rPr>
          <w:rFonts w:eastAsia="Times New Roman" w:cs="Times New Roman"/>
          <w:b/>
          <w:sz w:val="40"/>
          <w:szCs w:val="40"/>
          <w:lang w:eastAsia="cs-CZ"/>
        </w:rPr>
        <w:t>B.</w:t>
      </w:r>
      <w:r>
        <w:rPr>
          <w:rFonts w:eastAsia="Times New Roman" w:cs="Times New Roman"/>
          <w:b/>
          <w:sz w:val="40"/>
          <w:szCs w:val="40"/>
          <w:lang w:eastAsia="cs-CZ"/>
        </w:rPr>
        <w:t>8</w:t>
      </w:r>
      <w:r w:rsidRPr="00E07F6B">
        <w:rPr>
          <w:rFonts w:eastAsia="Times New Roman" w:cs="Times New Roman"/>
          <w:b/>
          <w:sz w:val="40"/>
          <w:szCs w:val="40"/>
          <w:lang w:eastAsia="cs-CZ"/>
        </w:rPr>
        <w:t>. Zásady organizace výstavby</w:t>
      </w:r>
    </w:p>
    <w:p w:rsidR="00E07F6B" w:rsidRPr="00A87C34" w:rsidRDefault="00E07F6B" w:rsidP="00E07F6B">
      <w:pPr>
        <w:pStyle w:val="Nzev"/>
        <w:jc w:val="right"/>
        <w:rPr>
          <w:rFonts w:asciiTheme="minorHAnsi" w:hAnsiTheme="minorHAnsi" w:cstheme="minorHAnsi"/>
          <w:i/>
          <w:iCs/>
          <w:color w:val="070707"/>
          <w:sz w:val="16"/>
          <w:szCs w:val="16"/>
          <w:shd w:val="clear" w:color="auto" w:fill="FFFFFF"/>
        </w:rPr>
      </w:pPr>
      <w:r>
        <w:rPr>
          <w:rFonts w:asciiTheme="minorHAnsi" w:hAnsiTheme="minorHAnsi" w:cstheme="minorHAnsi"/>
          <w:i/>
          <w:iCs/>
          <w:color w:val="070707"/>
          <w:sz w:val="16"/>
          <w:szCs w:val="16"/>
          <w:shd w:val="clear" w:color="auto" w:fill="FFFFFF"/>
        </w:rPr>
        <w:t xml:space="preserve">        </w:t>
      </w:r>
      <w:r w:rsidRPr="00A87C34">
        <w:rPr>
          <w:rFonts w:asciiTheme="minorHAnsi" w:hAnsiTheme="minorHAnsi" w:cstheme="minorHAnsi"/>
          <w:i/>
          <w:iCs/>
          <w:color w:val="070707"/>
          <w:sz w:val="16"/>
          <w:szCs w:val="16"/>
          <w:shd w:val="clear" w:color="auto" w:fill="FFFFFF"/>
        </w:rPr>
        <w:t xml:space="preserve">Vypracováno v souladu s vyhláškou č. 405/2017 Sb., kterou se mění vyhláška č. 499/2006 Sb., </w:t>
      </w:r>
    </w:p>
    <w:p w:rsidR="00E07F6B" w:rsidRPr="00A87C34" w:rsidRDefault="00E07F6B" w:rsidP="00E07F6B">
      <w:pPr>
        <w:pStyle w:val="Nzev"/>
        <w:jc w:val="right"/>
        <w:rPr>
          <w:rFonts w:asciiTheme="minorHAnsi" w:hAnsiTheme="minorHAnsi" w:cstheme="minorHAnsi"/>
          <w:i/>
          <w:iCs/>
          <w:color w:val="070707"/>
          <w:sz w:val="16"/>
          <w:szCs w:val="16"/>
          <w:shd w:val="clear" w:color="auto" w:fill="FFFFFF"/>
        </w:rPr>
      </w:pPr>
      <w:r w:rsidRPr="00A87C34">
        <w:rPr>
          <w:rFonts w:asciiTheme="minorHAnsi" w:hAnsiTheme="minorHAnsi" w:cstheme="minorHAnsi"/>
          <w:i/>
          <w:iCs/>
          <w:color w:val="070707"/>
          <w:sz w:val="16"/>
          <w:szCs w:val="16"/>
          <w:shd w:val="clear" w:color="auto" w:fill="FFFFFF"/>
        </w:rPr>
        <w:t xml:space="preserve">                                       </w:t>
      </w:r>
      <w:r w:rsidRPr="00A87C34">
        <w:rPr>
          <w:rFonts w:asciiTheme="minorHAnsi" w:hAnsiTheme="minorHAnsi" w:cstheme="minorHAnsi"/>
          <w:i/>
          <w:iCs/>
          <w:color w:val="070707"/>
          <w:sz w:val="16"/>
          <w:szCs w:val="16"/>
          <w:shd w:val="clear" w:color="auto" w:fill="FFFFFF"/>
        </w:rPr>
        <w:tab/>
      </w:r>
      <w:r w:rsidRPr="00A87C34">
        <w:rPr>
          <w:rFonts w:asciiTheme="minorHAnsi" w:hAnsiTheme="minorHAnsi" w:cstheme="minorHAnsi"/>
          <w:i/>
          <w:iCs/>
          <w:color w:val="070707"/>
          <w:sz w:val="16"/>
          <w:szCs w:val="16"/>
          <w:shd w:val="clear" w:color="auto" w:fill="FFFFFF"/>
        </w:rPr>
        <w:tab/>
      </w:r>
      <w:r w:rsidRPr="00A87C34">
        <w:rPr>
          <w:rFonts w:asciiTheme="minorHAnsi" w:hAnsiTheme="minorHAnsi" w:cstheme="minorHAnsi"/>
          <w:i/>
          <w:iCs/>
          <w:color w:val="070707"/>
          <w:sz w:val="16"/>
          <w:szCs w:val="16"/>
          <w:shd w:val="clear" w:color="auto" w:fill="FFFFFF"/>
        </w:rPr>
        <w:tab/>
      </w:r>
      <w:r w:rsidRPr="00A87C34">
        <w:rPr>
          <w:rFonts w:asciiTheme="minorHAnsi" w:hAnsiTheme="minorHAnsi" w:cstheme="minorHAnsi"/>
          <w:i/>
          <w:iCs/>
          <w:color w:val="070707"/>
          <w:sz w:val="16"/>
          <w:szCs w:val="16"/>
          <w:shd w:val="clear" w:color="auto" w:fill="FFFFFF"/>
        </w:rPr>
        <w:tab/>
        <w:t>o dokumentaci staveb, ve znění vyhlášky č. 62/2013 Sb.</w:t>
      </w:r>
    </w:p>
    <w:p w:rsidR="00E07F6B" w:rsidRDefault="00E07F6B" w:rsidP="00B01CFA"/>
    <w:p w:rsidR="00E07F6B" w:rsidRDefault="00E07F6B" w:rsidP="00B01CFA"/>
    <w:p w:rsidR="00E07F6B" w:rsidRDefault="00E07F6B" w:rsidP="00B01CFA"/>
    <w:p w:rsidR="00E07F6B" w:rsidRDefault="00E07F6B" w:rsidP="00B01CFA"/>
    <w:p w:rsidR="00E07F6B" w:rsidRDefault="00E07F6B" w:rsidP="00B01CFA"/>
    <w:p w:rsidR="00E07F6B" w:rsidRDefault="00E07F6B" w:rsidP="00B01CFA"/>
    <w:p w:rsidR="00E07F6B" w:rsidRDefault="00E07F6B" w:rsidP="00B01CFA"/>
    <w:p w:rsidR="00E07F6B" w:rsidRDefault="00E07F6B" w:rsidP="00B01CFA"/>
    <w:p w:rsidR="00E07F6B" w:rsidRDefault="00E07F6B" w:rsidP="00B01CFA"/>
    <w:p w:rsidR="00E07F6B" w:rsidRDefault="00E07F6B" w:rsidP="00B01CFA"/>
    <w:p w:rsidR="00E07F6B" w:rsidRDefault="00E07F6B" w:rsidP="00B01CFA"/>
    <w:p w:rsidR="00E07F6B" w:rsidRDefault="00E07F6B" w:rsidP="00B01CFA"/>
    <w:p w:rsidR="00E07F6B" w:rsidRDefault="00E07F6B" w:rsidP="00B01CFA"/>
    <w:p w:rsidR="00E07F6B" w:rsidRDefault="00E07F6B" w:rsidP="00B01CFA"/>
    <w:p w:rsidR="00E07F6B" w:rsidRDefault="00E07F6B" w:rsidP="00B01CFA"/>
    <w:p w:rsidR="00E07F6B" w:rsidRDefault="00E07F6B" w:rsidP="00B01CFA"/>
    <w:p w:rsidR="00E07F6B" w:rsidRDefault="00E07F6B" w:rsidP="00B01CFA"/>
    <w:p w:rsidR="00E07F6B" w:rsidRDefault="00E07F6B" w:rsidP="00B01CFA"/>
    <w:p w:rsidR="00E07F6B" w:rsidRDefault="00E07F6B" w:rsidP="00B01CFA"/>
    <w:p w:rsidR="00E07F6B" w:rsidRDefault="00E07F6B" w:rsidP="00B01CFA"/>
    <w:p w:rsidR="00E07F6B" w:rsidRDefault="00E07F6B" w:rsidP="00B01CFA"/>
    <w:p w:rsidR="00F0671F" w:rsidRDefault="00B01CFA" w:rsidP="00B01CFA">
      <w:pPr>
        <w:pStyle w:val="Nadpis1"/>
        <w:numPr>
          <w:ilvl w:val="0"/>
          <w:numId w:val="1"/>
        </w:numPr>
      </w:pPr>
      <w:r>
        <w:t>Napojení staveniště na stávající dopravní a technickou infrastrukturu</w:t>
      </w:r>
    </w:p>
    <w:p w:rsidR="00C537EF" w:rsidRPr="00C537EF" w:rsidRDefault="00C537EF" w:rsidP="00C537EF"/>
    <w:p w:rsidR="00DA4A95" w:rsidRDefault="00C537EF" w:rsidP="00C537EF">
      <w:pPr>
        <w:jc w:val="both"/>
        <w:rPr>
          <w:rFonts w:cstheme="minorHAnsi"/>
        </w:rPr>
      </w:pPr>
      <w:r w:rsidRPr="00A87C34">
        <w:rPr>
          <w:rFonts w:cstheme="minorHAnsi"/>
        </w:rPr>
        <w:t>Řešené území se nachází na severním okraji městské části Praha Kolovraty v místě křížení ulic Měsíčková a Bazalková.</w:t>
      </w:r>
      <w:r>
        <w:rPr>
          <w:rFonts w:cstheme="minorHAnsi"/>
        </w:rPr>
        <w:t xml:space="preserve"> Ulice Bazalková je v současné době zaslepena. V rámci projektu základní školy bude tato komunikace prodloužena a podél ní </w:t>
      </w:r>
      <w:r w:rsidRPr="00032F93">
        <w:rPr>
          <w:rFonts w:cstheme="minorHAnsi"/>
        </w:rPr>
        <w:t>založen parkovací pás pro potřeby návštěvníků školy.</w:t>
      </w:r>
      <w:r>
        <w:rPr>
          <w:rFonts w:cstheme="minorHAnsi"/>
        </w:rPr>
        <w:t xml:space="preserve"> Vjezd a vstup na staveniště bude v místě stávajícího zaslepení komunikace. Příjezd na staveniště bude možný po stávajících komunikacích.</w:t>
      </w:r>
    </w:p>
    <w:p w:rsidR="002615E0" w:rsidRDefault="00C537EF" w:rsidP="00C537EF">
      <w:pPr>
        <w:jc w:val="both"/>
      </w:pPr>
      <w:r w:rsidRPr="002D4A07">
        <w:t xml:space="preserve">Řady </w:t>
      </w:r>
      <w:r w:rsidR="00C470C8">
        <w:t>technické infrastruktury</w:t>
      </w:r>
      <w:r w:rsidR="002615E0">
        <w:t xml:space="preserve"> </w:t>
      </w:r>
      <w:r w:rsidRPr="002D4A07">
        <w:t>v okolí zamýšlené stavby jsou připravené na danou výstavbu. Před řešeným pozemkem je zakončen řad splaškové kanalizace vedený z ulice Bazalková – kamenina DN300. Do koncové šachty tohoto řadu bude napojena jedna větve splaškové kanalizace zamýšlené výstavby.</w:t>
      </w:r>
      <w:r w:rsidR="002615E0">
        <w:t xml:space="preserve"> Tuto šachtu lze využít pro napojení splaškové kanalizace ze sociálních buněk zařízení staveniště.</w:t>
      </w:r>
    </w:p>
    <w:p w:rsidR="00C537EF" w:rsidRDefault="002615E0" w:rsidP="00C537EF">
      <w:pPr>
        <w:jc w:val="both"/>
      </w:pPr>
      <w:r w:rsidRPr="00E759D5">
        <w:t xml:space="preserve">Zamýšlená výstavba základní školy bude napojena na stávající veřejný vodovodní řad vedený v ulici Měsíčková </w:t>
      </w:r>
      <w:r>
        <w:t>a Bazalková</w:t>
      </w:r>
      <w:r w:rsidR="00C470C8">
        <w:t xml:space="preserve"> -</w:t>
      </w:r>
      <w:r w:rsidRPr="00E759D5">
        <w:t xml:space="preserve"> litina DN200.</w:t>
      </w:r>
      <w:r>
        <w:t xml:space="preserve"> Tento řad je doveden až k zaslepení ulice Bazalková a před jeho zaslepením je osazen nadzemní hydrant. Toto místo bude využito pro napojení vody pro potřeby stavby.</w:t>
      </w:r>
    </w:p>
    <w:p w:rsidR="00C470C8" w:rsidRPr="00DA4A95" w:rsidRDefault="00C470C8" w:rsidP="00C537EF">
      <w:pPr>
        <w:jc w:val="both"/>
      </w:pPr>
    </w:p>
    <w:p w:rsidR="00B01CFA" w:rsidRDefault="00B01CFA" w:rsidP="00B01CFA">
      <w:pPr>
        <w:pStyle w:val="Nadpis1"/>
        <w:numPr>
          <w:ilvl w:val="0"/>
          <w:numId w:val="1"/>
        </w:numPr>
      </w:pPr>
      <w:r>
        <w:t>Ochrana okolí staveniště a požadavky na související asanace, demolice, kácení dřevin</w:t>
      </w:r>
    </w:p>
    <w:p w:rsidR="005A2E71" w:rsidRPr="005A2E71" w:rsidRDefault="005A2E71" w:rsidP="005A2E71"/>
    <w:p w:rsidR="005A2E71" w:rsidRDefault="005A2E71" w:rsidP="005A2E71">
      <w:pPr>
        <w:rPr>
          <w:rFonts w:cstheme="minorHAnsi"/>
        </w:rPr>
      </w:pPr>
      <w:r w:rsidRPr="00A87C34">
        <w:rPr>
          <w:rFonts w:cstheme="minorHAnsi"/>
        </w:rPr>
        <w:t>Celé území vymezené pro realizaci záměru je nezastavěné, v současné době se zde nachází pole.</w:t>
      </w:r>
      <w:r>
        <w:rPr>
          <w:rFonts w:cstheme="minorHAnsi"/>
        </w:rPr>
        <w:t xml:space="preserve"> V místě nového objektu se nenachází žádné inženýrské sítě. Ty jsou vedeny ve stávající komunikaci a přilehlých chodnících. Nevznikají žádné požadavky na asanace a demolice.</w:t>
      </w:r>
    </w:p>
    <w:p w:rsidR="005A2E71" w:rsidRPr="005A2E71" w:rsidRDefault="005A2E71" w:rsidP="005A2E71">
      <w:pPr>
        <w:spacing w:after="0"/>
        <w:rPr>
          <w:rFonts w:cstheme="minorHAnsi"/>
          <w:iCs/>
        </w:rPr>
      </w:pPr>
      <w:r w:rsidRPr="005A2E71">
        <w:rPr>
          <w:rFonts w:cstheme="minorHAnsi"/>
          <w:iCs/>
        </w:rPr>
        <w:t>Z důvodu vjezdu pro zásobování a jednotek HZS a z důvodu rozhledových poměrů na křižovatce je nutno pokácet tři stávající stromy.</w:t>
      </w:r>
    </w:p>
    <w:p w:rsidR="005A2E71" w:rsidRPr="005A2E71" w:rsidRDefault="005A2E71" w:rsidP="005A2E71">
      <w:pPr>
        <w:spacing w:after="0"/>
        <w:rPr>
          <w:rFonts w:cstheme="minorHAnsi"/>
        </w:rPr>
      </w:pPr>
      <w:r w:rsidRPr="005A2E71">
        <w:rPr>
          <w:rFonts w:cstheme="minorHAnsi"/>
          <w:iCs/>
        </w:rPr>
        <w:t>Jedná se o hrušeň Calleryova (</w:t>
      </w:r>
      <w:r w:rsidRPr="005A2E71">
        <w:rPr>
          <w:rFonts w:cstheme="minorHAnsi"/>
        </w:rPr>
        <w:t>Pyrus calleryana).</w:t>
      </w:r>
    </w:p>
    <w:p w:rsidR="00773A14" w:rsidRDefault="005A2E71" w:rsidP="00773A14">
      <w:pPr>
        <w:rPr>
          <w:rFonts w:cstheme="minorHAnsi"/>
        </w:rPr>
      </w:pPr>
      <w:r>
        <w:rPr>
          <w:rFonts w:cstheme="minorHAnsi"/>
        </w:rPr>
        <w:t xml:space="preserve">Obvod stromů je </w:t>
      </w:r>
      <w:r w:rsidRPr="005A2E71">
        <w:rPr>
          <w:rFonts w:cstheme="minorHAnsi"/>
        </w:rPr>
        <w:t>do 80cm ve výšce 130 cm, ale stromy jsou součástí stromořadí, proto je potřeba povolení ke kácení.</w:t>
      </w:r>
    </w:p>
    <w:p w:rsidR="005A2E71" w:rsidRPr="005A2E71" w:rsidRDefault="005A2E71" w:rsidP="00773A14">
      <w:pPr>
        <w:rPr>
          <w:rFonts w:cstheme="minorHAnsi"/>
        </w:rPr>
      </w:pPr>
    </w:p>
    <w:p w:rsidR="00DA4A95" w:rsidRDefault="00DA4A95" w:rsidP="00DA4A95">
      <w:pPr>
        <w:pStyle w:val="Nadpis1"/>
        <w:numPr>
          <w:ilvl w:val="0"/>
          <w:numId w:val="1"/>
        </w:numPr>
      </w:pPr>
      <w:r>
        <w:t>Maximální dočasné a trvalé zábory pro staveniště</w:t>
      </w:r>
    </w:p>
    <w:p w:rsidR="00145FCB" w:rsidRDefault="00145FCB" w:rsidP="00145FCB"/>
    <w:p w:rsidR="00145FCB" w:rsidRDefault="00565D66" w:rsidP="00145FCB">
      <w:r>
        <w:t>Dlouhodobý dočasný zábor staveniště vymezený oplocením leží na pozemcích ve vlastnictví hl.m.Prahy ve svěřené správě investora.</w:t>
      </w:r>
    </w:p>
    <w:p w:rsidR="00565D66" w:rsidRDefault="00565D66" w:rsidP="00145FCB">
      <w:r>
        <w:t>Jedná se o pozemky k.č.1263/756, 1263/757, 1263/758, 1263/523, 1263/525.</w:t>
      </w:r>
    </w:p>
    <w:p w:rsidR="00565D66" w:rsidRDefault="00565D66" w:rsidP="00565D66">
      <w:r>
        <w:t xml:space="preserve">Krátkodobý zábor pro připojení inženýrských sítí se nachází na pozemcích k.č.1263/453, 1263/758, 1263/523, 1263/525, 1263/423, 1263/522 </w:t>
      </w:r>
      <w:r>
        <w:t>ve vlastnictví hl.m.Prahy ve svěřené správě investora</w:t>
      </w:r>
      <w:r>
        <w:t xml:space="preserve"> a na pozemku 1263/623 </w:t>
      </w:r>
      <w:r>
        <w:t>ve vlastnictví hl.m.Prahy</w:t>
      </w:r>
      <w:r>
        <w:t>.</w:t>
      </w:r>
    </w:p>
    <w:p w:rsidR="00565D66" w:rsidRPr="00145FCB" w:rsidRDefault="00565D66" w:rsidP="00145FCB"/>
    <w:p w:rsidR="00DA4A95" w:rsidRDefault="00DA4A95" w:rsidP="00DA4A95">
      <w:pPr>
        <w:pStyle w:val="Nadpis1"/>
        <w:numPr>
          <w:ilvl w:val="0"/>
          <w:numId w:val="1"/>
        </w:numPr>
      </w:pPr>
      <w:r>
        <w:t>Požadavky na bezbariérové obchozí trasy</w:t>
      </w:r>
    </w:p>
    <w:p w:rsidR="009F3649" w:rsidRDefault="009F3649" w:rsidP="009F3649"/>
    <w:p w:rsidR="009F3649" w:rsidRPr="009F3649" w:rsidRDefault="009F3649" w:rsidP="009F3649">
      <w:r>
        <w:t>Trvalý zábor leží na části slepého konce chodníku podél ulice Měsí</w:t>
      </w:r>
      <w:r w:rsidR="00D63D93">
        <w:t>čková.</w:t>
      </w:r>
      <w:r w:rsidR="00315170">
        <w:t xml:space="preserve"> Pohyb chodců je umožněn po protější straně chodníku. Obchozí trasy nejsou nutné.</w:t>
      </w:r>
    </w:p>
    <w:p w:rsidR="00DA4A95" w:rsidRDefault="00DA4A95" w:rsidP="00DA4A95">
      <w:pPr>
        <w:pStyle w:val="Nadpis1"/>
        <w:numPr>
          <w:ilvl w:val="0"/>
          <w:numId w:val="1"/>
        </w:numPr>
      </w:pPr>
      <w:r>
        <w:t>Bilance zemních prací, požadavky na přísun nebo deponie zemin</w:t>
      </w:r>
    </w:p>
    <w:p w:rsidR="00315170" w:rsidRDefault="00315170" w:rsidP="00315170"/>
    <w:p w:rsidR="00315170" w:rsidRDefault="00464216" w:rsidP="00315170">
      <w:r>
        <w:t>Objekt je osazen do terénu tak, aby upravený terén kolem objektu korespondoval s původním terénem. Zemina vykopaná pro suterénní prostory bude využita k vyrovnání terénu plánované parkové a sportovně relaxační plochy.</w:t>
      </w:r>
    </w:p>
    <w:p w:rsidR="00E07F6B" w:rsidRDefault="00464216" w:rsidP="00DA4A95">
      <w:r>
        <w:t>Zbytek zeminy bude využit na vybudování plánovaného zemního valu, popř.</w:t>
      </w:r>
      <w:r w:rsidRPr="00464216">
        <w:t xml:space="preserve"> </w:t>
      </w:r>
      <w:r>
        <w:t>odvezen na deponii</w:t>
      </w:r>
      <w:r>
        <w:t>.</w:t>
      </w:r>
    </w:p>
    <w:p w:rsidR="00E07F6B" w:rsidRPr="00E07F6B" w:rsidRDefault="00E07F6B" w:rsidP="00E07F6B"/>
    <w:p w:rsidR="00E07F6B" w:rsidRPr="00E07F6B" w:rsidRDefault="00E07F6B" w:rsidP="00E07F6B"/>
    <w:p w:rsidR="00E07F6B" w:rsidRPr="00E07F6B" w:rsidRDefault="00E07F6B" w:rsidP="00E07F6B"/>
    <w:p w:rsidR="00E07F6B" w:rsidRPr="00E07F6B" w:rsidRDefault="00E07F6B" w:rsidP="00E07F6B"/>
    <w:p w:rsidR="00E07F6B" w:rsidRPr="00E07F6B" w:rsidRDefault="00E07F6B" w:rsidP="00E07F6B"/>
    <w:p w:rsidR="00E07F6B" w:rsidRPr="00E07F6B" w:rsidRDefault="00E07F6B" w:rsidP="00E07F6B"/>
    <w:p w:rsidR="00E07F6B" w:rsidRPr="00E07F6B" w:rsidRDefault="00E07F6B" w:rsidP="00E07F6B"/>
    <w:p w:rsidR="00E07F6B" w:rsidRPr="00E07F6B" w:rsidRDefault="00E07F6B" w:rsidP="00E07F6B"/>
    <w:p w:rsidR="00E07F6B" w:rsidRPr="00E07F6B" w:rsidRDefault="00E07F6B" w:rsidP="00E07F6B"/>
    <w:p w:rsidR="00E07F6B" w:rsidRDefault="00E07F6B" w:rsidP="00E07F6B"/>
    <w:p w:rsidR="00DA4A95" w:rsidRPr="00E07F6B" w:rsidRDefault="00E07F6B" w:rsidP="00E07F6B">
      <w:r>
        <w:t>V Praze 06/2020                                                                      ing.</w:t>
      </w:r>
      <w:r w:rsidR="00257645">
        <w:t>Ilona Matějíčková</w:t>
      </w:r>
      <w:bookmarkStart w:id="0" w:name="_GoBack"/>
      <w:bookmarkEnd w:id="0"/>
    </w:p>
    <w:sectPr w:rsidR="00DA4A95" w:rsidRPr="00E07F6B" w:rsidSect="00464216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4216" w:rsidRDefault="00464216" w:rsidP="00464216">
      <w:pPr>
        <w:spacing w:after="0" w:line="240" w:lineRule="auto"/>
      </w:pPr>
      <w:r>
        <w:separator/>
      </w:r>
    </w:p>
  </w:endnote>
  <w:endnote w:type="continuationSeparator" w:id="0">
    <w:p w:rsidR="00464216" w:rsidRDefault="00464216" w:rsidP="00464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4216" w:rsidRDefault="00464216">
    <w:pPr>
      <w:pStyle w:val="Zpat"/>
    </w:pPr>
  </w:p>
  <w:p w:rsidR="00464216" w:rsidRPr="00464216" w:rsidRDefault="00464216" w:rsidP="00464216">
    <w:pPr>
      <w:tabs>
        <w:tab w:val="center" w:pos="4536"/>
        <w:tab w:val="right" w:pos="9072"/>
      </w:tabs>
      <w:spacing w:after="0" w:line="240" w:lineRule="auto"/>
      <w:jc w:val="both"/>
      <w:rPr>
        <w:rFonts w:asciiTheme="minorHAnsi" w:hAnsiTheme="minorHAnsi"/>
      </w:rPr>
    </w:pPr>
    <w:r w:rsidRPr="00464216">
      <w:rPr>
        <w:rFonts w:asciiTheme="minorHAnsi" w:hAnsiTheme="minorHAnsi"/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5823260" wp14:editId="2ED36538">
              <wp:simplePos x="0" y="0"/>
              <wp:positionH relativeFrom="margin">
                <wp:align>left</wp:align>
              </wp:positionH>
              <wp:positionV relativeFrom="paragraph">
                <wp:posOffset>-165735</wp:posOffset>
              </wp:positionV>
              <wp:extent cx="5753100" cy="0"/>
              <wp:effectExtent l="0" t="0" r="19050" b="19050"/>
              <wp:wrapNone/>
              <wp:docPr id="3" name="Přímá spojnic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31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03DE5FD" id="Přímá spojnice 3" o:spid="_x0000_s1026" style="position:absolute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-13.05pt" to="453pt,-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" strokecolor="windowText" strokeweight=".5pt">
              <v:stroke joinstyle="miter"/>
              <w10:wrap anchorx="margin"/>
            </v:line>
          </w:pict>
        </mc:Fallback>
      </mc:AlternateContent>
    </w:r>
    <w:r>
      <w:rPr>
        <w:rFonts w:asciiTheme="minorHAnsi" w:hAnsiTheme="minorHAnsi"/>
      </w:rPr>
      <w:t>ZOV</w:t>
    </w:r>
    <w:r w:rsidRPr="00464216">
      <w:rPr>
        <w:rFonts w:asciiTheme="minorHAnsi" w:hAnsiTheme="minorHAnsi"/>
      </w:rPr>
      <w:ptab w:relativeTo="margin" w:alignment="center" w:leader="none"/>
    </w:r>
    <w:r w:rsidRPr="00464216">
      <w:rPr>
        <w:rFonts w:asciiTheme="minorHAnsi" w:hAnsiTheme="minorHAnsi"/>
        <w:b/>
      </w:rPr>
      <w:t xml:space="preserve">Strana </w:t>
    </w:r>
    <w:r w:rsidRPr="00464216">
      <w:rPr>
        <w:rFonts w:asciiTheme="minorHAnsi" w:hAnsiTheme="minorHAnsi"/>
        <w:b/>
      </w:rPr>
      <w:fldChar w:fldCharType="begin"/>
    </w:r>
    <w:r w:rsidRPr="00464216">
      <w:rPr>
        <w:rFonts w:asciiTheme="minorHAnsi" w:hAnsiTheme="minorHAnsi"/>
        <w:b/>
      </w:rPr>
      <w:instrText xml:space="preserve"> PAGE </w:instrText>
    </w:r>
    <w:r w:rsidRPr="00464216">
      <w:rPr>
        <w:rFonts w:asciiTheme="minorHAnsi" w:hAnsiTheme="minorHAnsi"/>
        <w:b/>
      </w:rPr>
      <w:fldChar w:fldCharType="separate"/>
    </w:r>
    <w:r w:rsidR="00257645">
      <w:rPr>
        <w:rFonts w:asciiTheme="minorHAnsi" w:hAnsiTheme="minorHAnsi"/>
        <w:b/>
        <w:noProof/>
      </w:rPr>
      <w:t>2</w:t>
    </w:r>
    <w:r w:rsidRPr="00464216">
      <w:rPr>
        <w:rFonts w:asciiTheme="minorHAnsi" w:hAnsiTheme="minorHAnsi"/>
        <w:b/>
      </w:rPr>
      <w:fldChar w:fldCharType="end"/>
    </w:r>
    <w:r w:rsidRPr="00464216">
      <w:rPr>
        <w:rFonts w:asciiTheme="minorHAnsi" w:hAnsiTheme="minorHAnsi"/>
        <w:b/>
      </w:rPr>
      <w:t xml:space="preserve"> (celkem </w:t>
    </w:r>
    <w:r w:rsidRPr="00464216">
      <w:rPr>
        <w:rFonts w:asciiTheme="minorHAnsi" w:hAnsiTheme="minorHAnsi"/>
        <w:b/>
      </w:rPr>
      <w:fldChar w:fldCharType="begin"/>
    </w:r>
    <w:r w:rsidRPr="00464216">
      <w:rPr>
        <w:rFonts w:asciiTheme="minorHAnsi" w:hAnsiTheme="minorHAnsi"/>
        <w:b/>
      </w:rPr>
      <w:instrText xml:space="preserve"> NUMPAGES \*Arabic </w:instrText>
    </w:r>
    <w:r w:rsidRPr="00464216">
      <w:rPr>
        <w:rFonts w:asciiTheme="minorHAnsi" w:hAnsiTheme="minorHAnsi"/>
        <w:b/>
      </w:rPr>
      <w:fldChar w:fldCharType="separate"/>
    </w:r>
    <w:r w:rsidR="00257645">
      <w:rPr>
        <w:rFonts w:asciiTheme="minorHAnsi" w:hAnsiTheme="minorHAnsi"/>
        <w:b/>
        <w:noProof/>
      </w:rPr>
      <w:t>3</w:t>
    </w:r>
    <w:r w:rsidRPr="00464216">
      <w:rPr>
        <w:rFonts w:asciiTheme="minorHAnsi" w:hAnsiTheme="minorHAnsi"/>
        <w:b/>
      </w:rPr>
      <w:fldChar w:fldCharType="end"/>
    </w:r>
    <w:r w:rsidRPr="00464216">
      <w:rPr>
        <w:rFonts w:asciiTheme="minorHAnsi" w:hAnsiTheme="minorHAnsi"/>
        <w:b/>
      </w:rPr>
      <w:t>)</w:t>
    </w:r>
    <w:r w:rsidRPr="00464216">
      <w:rPr>
        <w:rFonts w:asciiTheme="minorHAnsi" w:hAnsiTheme="minorHAnsi"/>
      </w:rPr>
      <w:ptab w:relativeTo="margin" w:alignment="right" w:leader="none"/>
    </w:r>
    <w:r w:rsidRPr="00464216">
      <w:rPr>
        <w:rFonts w:asciiTheme="minorHAnsi" w:hAnsiTheme="minorHAnsi"/>
      </w:rPr>
      <w:t>DÚR</w:t>
    </w:r>
  </w:p>
  <w:p w:rsidR="00464216" w:rsidRDefault="00464216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4216" w:rsidRDefault="00464216" w:rsidP="00464216">
      <w:pPr>
        <w:spacing w:after="0" w:line="240" w:lineRule="auto"/>
      </w:pPr>
      <w:r>
        <w:separator/>
      </w:r>
    </w:p>
  </w:footnote>
  <w:footnote w:type="continuationSeparator" w:id="0">
    <w:p w:rsidR="00464216" w:rsidRDefault="00464216" w:rsidP="004642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4216" w:rsidRDefault="00464216">
    <w:pPr>
      <w:pStyle w:val="Zhlav"/>
    </w:pPr>
    <w:r w:rsidRPr="00516C00">
      <w:rPr>
        <w:noProof/>
        <w:lang w:eastAsia="cs-CZ"/>
      </w:rPr>
      <w:drawing>
        <wp:inline distT="0" distB="0" distL="0" distR="0" wp14:anchorId="3AF42A82" wp14:editId="440F9A23">
          <wp:extent cx="1809750" cy="276225"/>
          <wp:effectExtent l="0" t="0" r="0" b="9525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</w:t>
    </w:r>
    <w:r>
      <w:t>Novosta</w:t>
    </w:r>
    <w:r>
      <w:t>vba základní školy v Kolovratech</w:t>
    </w:r>
  </w:p>
  <w:p w:rsidR="00464216" w:rsidRDefault="00464216">
    <w:pPr>
      <w:pStyle w:val="Zhlav"/>
    </w:pPr>
    <w:r>
      <w:t>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C92B52"/>
    <w:multiLevelType w:val="hybridMultilevel"/>
    <w:tmpl w:val="7D4C312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CFA"/>
    <w:rsid w:val="00145FCB"/>
    <w:rsid w:val="00257645"/>
    <w:rsid w:val="002615E0"/>
    <w:rsid w:val="00315170"/>
    <w:rsid w:val="00464216"/>
    <w:rsid w:val="00565D66"/>
    <w:rsid w:val="005A2E71"/>
    <w:rsid w:val="00773A14"/>
    <w:rsid w:val="009F3649"/>
    <w:rsid w:val="00B01CFA"/>
    <w:rsid w:val="00C470C8"/>
    <w:rsid w:val="00C537EF"/>
    <w:rsid w:val="00D63D93"/>
    <w:rsid w:val="00DA4A95"/>
    <w:rsid w:val="00E07F6B"/>
    <w:rsid w:val="00F06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B7BB7E6-0C5B-49A3-AFEB-A14E7BF01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A4A95"/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rsid w:val="00B01CFA"/>
    <w:pPr>
      <w:keepNext/>
      <w:keepLines/>
      <w:spacing w:before="240" w:after="0"/>
      <w:outlineLvl w:val="0"/>
    </w:pPr>
    <w:rPr>
      <w:rFonts w:eastAsiaTheme="majorEastAsia" w:cstheme="majorBidi"/>
      <w:sz w:val="32"/>
      <w:szCs w:val="32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01CFA"/>
    <w:rPr>
      <w:rFonts w:ascii="Arial" w:eastAsiaTheme="majorEastAsia" w:hAnsi="Arial" w:cstheme="majorBidi"/>
      <w:sz w:val="32"/>
      <w:szCs w:val="32"/>
    </w:rPr>
  </w:style>
  <w:style w:type="paragraph" w:styleId="Zhlav">
    <w:name w:val="header"/>
    <w:basedOn w:val="Normln"/>
    <w:link w:val="ZhlavChar"/>
    <w:uiPriority w:val="99"/>
    <w:unhideWhenUsed/>
    <w:rsid w:val="004642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64216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4642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64216"/>
    <w:rPr>
      <w:rFonts w:ascii="Arial" w:hAnsi="Arial"/>
    </w:rPr>
  </w:style>
  <w:style w:type="paragraph" w:styleId="Nzev">
    <w:name w:val="Title"/>
    <w:basedOn w:val="Normln"/>
    <w:next w:val="Normln"/>
    <w:link w:val="NzevChar"/>
    <w:qFormat/>
    <w:rsid w:val="00E07F6B"/>
    <w:pPr>
      <w:spacing w:after="0" w:line="240" w:lineRule="auto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sid w:val="00E07F6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</TotalTime>
  <Pages>3</Pages>
  <Words>474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Matějíčková</dc:creator>
  <cp:keywords/>
  <dc:description/>
  <cp:lastModifiedBy>Ilona Matějíčková</cp:lastModifiedBy>
  <cp:revision>7</cp:revision>
  <dcterms:created xsi:type="dcterms:W3CDTF">2020-08-10T11:54:00Z</dcterms:created>
  <dcterms:modified xsi:type="dcterms:W3CDTF">2020-08-11T13:17:00Z</dcterms:modified>
</cp:coreProperties>
</file>