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97"/>
        <w:gridCol w:w="5665"/>
      </w:tblGrid>
      <w:tr w:rsidR="004456A6" w:rsidRPr="002F40C1" w14:paraId="4C9FFFFC" w14:textId="77777777" w:rsidTr="00317FD5">
        <w:tc>
          <w:tcPr>
            <w:tcW w:w="3397" w:type="dxa"/>
            <w:shd w:val="clear" w:color="auto" w:fill="8EAADB" w:themeFill="accent1" w:themeFillTint="99"/>
          </w:tcPr>
          <w:p w14:paraId="01F58636" w14:textId="77777777" w:rsidR="004456A6" w:rsidRPr="002F40C1" w:rsidRDefault="004456A6" w:rsidP="00317FD5">
            <w:pPr>
              <w:jc w:val="left"/>
              <w:rPr>
                <w:b/>
                <w:lang w:eastAsia="cs-CZ"/>
              </w:rPr>
            </w:pPr>
            <w:bookmarkStart w:id="0" w:name="_GoBack" w:colFirst="0" w:colLast="0"/>
            <w:r w:rsidRPr="002F40C1">
              <w:rPr>
                <w:b/>
                <w:lang w:eastAsia="cs-CZ"/>
              </w:rPr>
              <w:t>Název vybavení/funkčního celku</w:t>
            </w:r>
          </w:p>
        </w:tc>
        <w:tc>
          <w:tcPr>
            <w:tcW w:w="5665" w:type="dxa"/>
            <w:shd w:val="clear" w:color="auto" w:fill="8EAADB" w:themeFill="accent1" w:themeFillTint="99"/>
          </w:tcPr>
          <w:p w14:paraId="432A6636" w14:textId="77777777" w:rsidR="004456A6" w:rsidRPr="002F40C1" w:rsidRDefault="004456A6" w:rsidP="00317FD5">
            <w:r w:rsidRPr="002F40C1">
              <w:t>FTIR spektrometr s příslušenstvím</w:t>
            </w:r>
          </w:p>
        </w:tc>
      </w:tr>
      <w:tr w:rsidR="009D6C76" w:rsidRPr="002F40C1" w14:paraId="4687E3F4" w14:textId="77777777" w:rsidTr="003829B6">
        <w:tc>
          <w:tcPr>
            <w:tcW w:w="9062" w:type="dxa"/>
            <w:gridSpan w:val="2"/>
            <w:shd w:val="clear" w:color="auto" w:fill="auto"/>
          </w:tcPr>
          <w:p w14:paraId="265F7D0B" w14:textId="77777777" w:rsidR="009D6C76" w:rsidRDefault="00DD53F4" w:rsidP="006F2B35">
            <w:pPr>
              <w:spacing w:after="120"/>
            </w:pPr>
            <w:r w:rsidRPr="00DD53F4">
              <w:t>Zadavatel pečlivě prověřil zadávací dokumentaci, zejména její technické podmínky a domnívá se, že neobsahuje žádné odkazy na konkrétní obchodní názvy. Pokud i přes tuto pečlivost ve specifických případech technické podmínky stanovují prostřednictvím přímého nebo nepřímého odkazu odkaz na určité dodavatele nebo výrobky, nebo patenty na vynálezy, užitné vzory, průmyslové vzory, ochranné známky nebo označení původu, umožňuje zadavatel u každého takového odkazu, není-li zdůvodněno a výslovně uvedeno jinak, možnost nabídnout kvalitativně a technicky obdobná řešení.</w:t>
            </w:r>
          </w:p>
          <w:p w14:paraId="22F25A88" w14:textId="2B6F41CE" w:rsidR="00DD53F4" w:rsidRPr="002F40C1" w:rsidRDefault="00DD53F4" w:rsidP="00921A85">
            <w:r>
              <w:t>Z</w:t>
            </w:r>
            <w:r w:rsidRPr="00990EB7">
              <w:t>ařízení</w:t>
            </w:r>
            <w:r>
              <w:t xml:space="preserve"> </w:t>
            </w:r>
            <w:r w:rsidR="00921A85">
              <w:t xml:space="preserve">bude sloužit a bude využito mimo jiné i z hlediska stávajícího </w:t>
            </w:r>
            <w:r w:rsidRPr="00990EB7">
              <w:t>modul</w:t>
            </w:r>
            <w:r w:rsidR="00921A85">
              <w:t>u</w:t>
            </w:r>
            <w:r w:rsidRPr="00990EB7">
              <w:t xml:space="preserve"> TGA/IR</w:t>
            </w:r>
            <w:r>
              <w:t>, který</w:t>
            </w:r>
            <w:r w:rsidR="00921A85">
              <w:t>m</w:t>
            </w:r>
            <w:r w:rsidRPr="00990EB7">
              <w:t xml:space="preserve"> </w:t>
            </w:r>
            <w:r w:rsidR="00921A85">
              <w:t>Zadavatel disponuje</w:t>
            </w:r>
            <w:r>
              <w:t>.</w:t>
            </w:r>
          </w:p>
        </w:tc>
      </w:tr>
      <w:tr w:rsidR="004456A6" w:rsidRPr="002F40C1" w14:paraId="691CB410" w14:textId="77777777" w:rsidTr="00317FD5">
        <w:trPr>
          <w:trHeight w:val="2538"/>
        </w:trPr>
        <w:tc>
          <w:tcPr>
            <w:tcW w:w="3397" w:type="dxa"/>
          </w:tcPr>
          <w:p w14:paraId="21B566E3" w14:textId="77777777" w:rsidR="004456A6" w:rsidRPr="002F40C1" w:rsidRDefault="004456A6" w:rsidP="00317FD5">
            <w:pPr>
              <w:jc w:val="left"/>
              <w:rPr>
                <w:lang w:eastAsia="cs-CZ"/>
              </w:rPr>
            </w:pPr>
            <w:r w:rsidRPr="002F40C1">
              <w:rPr>
                <w:rFonts w:cstheme="minorHAnsi"/>
                <w:b/>
              </w:rPr>
              <w:t>Charakteristické vlastnosti</w:t>
            </w:r>
          </w:p>
        </w:tc>
        <w:tc>
          <w:tcPr>
            <w:tcW w:w="5665" w:type="dxa"/>
          </w:tcPr>
          <w:p w14:paraId="5D81AD5A" w14:textId="644F5EA4" w:rsidR="00EF16F8" w:rsidRPr="002F40C1" w:rsidRDefault="00C1546D" w:rsidP="00B33BFC">
            <w:pPr>
              <w:pStyle w:val="cena"/>
              <w:tabs>
                <w:tab w:val="clear" w:pos="8190"/>
              </w:tabs>
              <w:spacing w:before="60" w:line="240" w:lineRule="auto"/>
              <w:ind w:right="0" w:firstLine="0"/>
              <w:jc w:val="left"/>
              <w:rPr>
                <w:rFonts w:asciiTheme="minorHAnsi" w:hAnsiTheme="minorHAnsi"/>
                <w:b w:val="0"/>
                <w:szCs w:val="22"/>
              </w:rPr>
            </w:pPr>
            <w:r w:rsidRPr="002F40C1">
              <w:rPr>
                <w:rFonts w:asciiTheme="minorHAnsi" w:hAnsiTheme="minorHAnsi"/>
                <w:szCs w:val="22"/>
                <w:u w:val="single"/>
              </w:rPr>
              <w:t>Kombinovaný FT-IR a FT-FIR spektrometr</w:t>
            </w:r>
          </w:p>
          <w:p w14:paraId="7DF8CBB6" w14:textId="6DFD741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detektor DLaTGS/KBr</w:t>
            </w:r>
            <w:r w:rsidR="00EF16F8" w:rsidRPr="002F40C1">
              <w:rPr>
                <w:rFonts w:asciiTheme="minorHAnsi" w:hAnsiTheme="minorHAnsi"/>
                <w:b w:val="0"/>
                <w:szCs w:val="22"/>
              </w:rPr>
              <w:t xml:space="preserve"> (spektrální rozsah 12.500 - 350 cm-1)</w:t>
            </w:r>
          </w:p>
          <w:p w14:paraId="4CAC0ACA" w14:textId="2F4E03C6"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 xml:space="preserve">detektor DLaTGS/PE </w:t>
            </w:r>
            <w:r w:rsidR="00EF16F8" w:rsidRPr="002F40C1">
              <w:rPr>
                <w:rFonts w:asciiTheme="minorHAnsi" w:hAnsiTheme="minorHAnsi"/>
                <w:b w:val="0"/>
                <w:szCs w:val="22"/>
              </w:rPr>
              <w:t>(spektrální rozsah 700 - 50 cm-1)</w:t>
            </w:r>
          </w:p>
          <w:p w14:paraId="7F26C304" w14:textId="307A2DD2"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systém automatického přepínání detektorů bez manuálního zásahu uživatele (pomocí software), dvě volné detektorové pozice</w:t>
            </w:r>
          </w:p>
          <w:p w14:paraId="0D147647"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všechny detektory jsou implementované do základního spektrometru (nikoliv v externích modulech)</w:t>
            </w:r>
          </w:p>
          <w:p w14:paraId="650A4527" w14:textId="3FF86379"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Ge/KBr dělič paprsků pro střední infračervenou oblast</w:t>
            </w:r>
            <w:r w:rsidR="00EF16F8" w:rsidRPr="002F40C1">
              <w:rPr>
                <w:rFonts w:asciiTheme="minorHAnsi" w:hAnsiTheme="minorHAnsi"/>
                <w:b w:val="0"/>
                <w:szCs w:val="22"/>
              </w:rPr>
              <w:t xml:space="preserve"> (spektrální rozsah 7.800 - 350 cm-1)</w:t>
            </w:r>
          </w:p>
          <w:p w14:paraId="560BCE52" w14:textId="7EA756F6"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Si dělič paprsků pro vzdálenou infračervenou oblast</w:t>
            </w:r>
            <w:r w:rsidR="00EF16F8" w:rsidRPr="002F40C1">
              <w:rPr>
                <w:rFonts w:asciiTheme="minorHAnsi" w:hAnsiTheme="minorHAnsi"/>
                <w:b w:val="0"/>
                <w:szCs w:val="22"/>
              </w:rPr>
              <w:t xml:space="preserve"> (spektrální rozsah 700 - 10 cm-1)</w:t>
            </w:r>
          </w:p>
          <w:p w14:paraId="1DF701DF" w14:textId="48E44AC1"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systém pro automatizovanou výměnu děličů paprsků</w:t>
            </w:r>
            <w:r w:rsidR="00EF16F8" w:rsidRPr="002F40C1">
              <w:rPr>
                <w:rFonts w:asciiTheme="minorHAnsi" w:hAnsiTheme="minorHAnsi"/>
                <w:b w:val="0"/>
                <w:szCs w:val="22"/>
              </w:rPr>
              <w:t>, jedna volná po</w:t>
            </w:r>
            <w:r w:rsidR="00B62094" w:rsidRPr="002F40C1">
              <w:rPr>
                <w:rFonts w:asciiTheme="minorHAnsi" w:hAnsiTheme="minorHAnsi"/>
                <w:b w:val="0"/>
                <w:szCs w:val="22"/>
              </w:rPr>
              <w:t>zic</w:t>
            </w:r>
            <w:r w:rsidR="00EF16F8" w:rsidRPr="002F40C1">
              <w:rPr>
                <w:rFonts w:asciiTheme="minorHAnsi" w:hAnsiTheme="minorHAnsi"/>
                <w:b w:val="0"/>
                <w:szCs w:val="22"/>
              </w:rPr>
              <w:t>e pro další dělič paprsků</w:t>
            </w:r>
          </w:p>
          <w:p w14:paraId="280F98F0" w14:textId="2BF15BBC" w:rsidR="00C1546D" w:rsidRPr="002F40C1" w:rsidRDefault="00EF16F8"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Teplotně stabilní vysokoenergetický zdroj pro střední a vzdálenou infračervenou oblast, vzduchem chlazený, spektrální rozsah 9600 – 20 cm-1</w:t>
            </w:r>
            <w:r w:rsidR="00C1546D" w:rsidRPr="002F40C1">
              <w:rPr>
                <w:rFonts w:asciiTheme="minorHAnsi" w:hAnsiTheme="minorHAnsi"/>
                <w:b w:val="0"/>
                <w:szCs w:val="22"/>
              </w:rPr>
              <w:t xml:space="preserve"> </w:t>
            </w:r>
          </w:p>
          <w:p w14:paraId="796AE941" w14:textId="652DDC3B"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halogen-wolframový zdroj záření</w:t>
            </w:r>
            <w:r w:rsidR="00EF16F8" w:rsidRPr="002F40C1">
              <w:rPr>
                <w:rFonts w:asciiTheme="minorHAnsi" w:hAnsiTheme="minorHAnsi"/>
                <w:b w:val="0"/>
                <w:szCs w:val="22"/>
              </w:rPr>
              <w:t>, spektrální rozsah 28.000 – 2.000 cm-1</w:t>
            </w:r>
          </w:p>
          <w:p w14:paraId="15835A0D"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systém přepínaní mezi zdroji záření bez manuálního zásahu uživatele (pomocí software)</w:t>
            </w:r>
          </w:p>
          <w:p w14:paraId="6B226CE0" w14:textId="77D2AE54"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pozlacená optika</w:t>
            </w:r>
          </w:p>
          <w:p w14:paraId="22B7CA82" w14:textId="2B66C210" w:rsidR="00C1546D" w:rsidRPr="002F40C1" w:rsidRDefault="00EF16F8"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 xml:space="preserve">stabilní </w:t>
            </w:r>
            <w:r w:rsidR="00C1546D" w:rsidRPr="002F40C1">
              <w:rPr>
                <w:rFonts w:asciiTheme="minorHAnsi" w:hAnsiTheme="minorHAnsi"/>
                <w:b w:val="0"/>
                <w:szCs w:val="22"/>
              </w:rPr>
              <w:t>HeNe referenční laser s vysokou životností pro zjišťování pozice pohyblivého zrcadla</w:t>
            </w:r>
          </w:p>
          <w:p w14:paraId="7FE09DE3"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motorizovaná irisová apertura řízená softwarem</w:t>
            </w:r>
          </w:p>
          <w:p w14:paraId="6716044D" w14:textId="6876BF2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lastRenderedPageBreak/>
              <w:t>spektrální rozsah 1</w:t>
            </w:r>
            <w:r w:rsidR="00EF16F8" w:rsidRPr="002F40C1">
              <w:rPr>
                <w:rFonts w:asciiTheme="minorHAnsi" w:hAnsiTheme="minorHAnsi"/>
                <w:b w:val="0"/>
                <w:szCs w:val="22"/>
              </w:rPr>
              <w:t>2.</w:t>
            </w:r>
            <w:r w:rsidRPr="002F40C1">
              <w:rPr>
                <w:rFonts w:asciiTheme="minorHAnsi" w:hAnsiTheme="minorHAnsi"/>
                <w:b w:val="0"/>
                <w:szCs w:val="22"/>
              </w:rPr>
              <w:t>500-350 cm</w:t>
            </w:r>
            <w:r w:rsidRPr="002F40C1">
              <w:rPr>
                <w:rFonts w:asciiTheme="minorHAnsi" w:hAnsiTheme="minorHAnsi"/>
                <w:b w:val="0"/>
                <w:szCs w:val="22"/>
                <w:vertAlign w:val="superscript"/>
              </w:rPr>
              <w:t>-1</w:t>
            </w:r>
          </w:p>
          <w:p w14:paraId="52AFDB1C"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spektrální rozlišení 0.09 cm</w:t>
            </w:r>
            <w:r w:rsidRPr="002F40C1">
              <w:rPr>
                <w:rFonts w:asciiTheme="minorHAnsi" w:hAnsiTheme="minorHAnsi"/>
                <w:b w:val="0"/>
                <w:szCs w:val="22"/>
                <w:vertAlign w:val="superscript"/>
              </w:rPr>
              <w:t>-1</w:t>
            </w:r>
            <w:r w:rsidRPr="002F40C1">
              <w:rPr>
                <w:rFonts w:asciiTheme="minorHAnsi" w:hAnsiTheme="minorHAnsi"/>
                <w:b w:val="0"/>
                <w:szCs w:val="22"/>
              </w:rPr>
              <w:t xml:space="preserve"> </w:t>
            </w:r>
          </w:p>
          <w:p w14:paraId="3F75928B"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poměr signálu k šumu (S/N) více než 55.000:1 (pro 1 minutové měření, p-t-p; při spektrálním rozlišení 4 cm</w:t>
            </w:r>
            <w:r w:rsidRPr="002F40C1">
              <w:rPr>
                <w:rFonts w:asciiTheme="minorHAnsi" w:hAnsiTheme="minorHAnsi"/>
                <w:b w:val="0"/>
                <w:szCs w:val="22"/>
                <w:vertAlign w:val="superscript"/>
              </w:rPr>
              <w:t>-1</w:t>
            </w:r>
            <w:r w:rsidRPr="002F40C1">
              <w:rPr>
                <w:rFonts w:asciiTheme="minorHAnsi" w:hAnsiTheme="minorHAnsi"/>
                <w:b w:val="0"/>
                <w:szCs w:val="22"/>
              </w:rPr>
              <w:t>)</w:t>
            </w:r>
          </w:p>
          <w:p w14:paraId="1C83C261"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vlnočtová přesnost lepší než 0,01 cm</w:t>
            </w:r>
            <w:r w:rsidRPr="002F40C1">
              <w:rPr>
                <w:rFonts w:asciiTheme="minorHAnsi" w:hAnsiTheme="minorHAnsi"/>
                <w:b w:val="0"/>
                <w:szCs w:val="22"/>
                <w:vertAlign w:val="superscript"/>
              </w:rPr>
              <w:t>-1</w:t>
            </w:r>
            <w:r w:rsidRPr="002F40C1">
              <w:rPr>
                <w:rFonts w:asciiTheme="minorHAnsi" w:hAnsiTheme="minorHAnsi"/>
                <w:b w:val="0"/>
                <w:szCs w:val="22"/>
              </w:rPr>
              <w:t xml:space="preserve"> (při 2.000 cm</w:t>
            </w:r>
            <w:r w:rsidRPr="002F40C1">
              <w:rPr>
                <w:rFonts w:asciiTheme="minorHAnsi" w:hAnsiTheme="minorHAnsi"/>
                <w:b w:val="0"/>
                <w:szCs w:val="22"/>
                <w:vertAlign w:val="superscript"/>
              </w:rPr>
              <w:t>-1</w:t>
            </w:r>
            <w:r w:rsidRPr="002F40C1">
              <w:rPr>
                <w:rFonts w:asciiTheme="minorHAnsi" w:hAnsiTheme="minorHAnsi"/>
                <w:b w:val="0"/>
                <w:szCs w:val="22"/>
              </w:rPr>
              <w:t>)</w:t>
            </w:r>
          </w:p>
          <w:p w14:paraId="05C4BB97"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uživatelsky volitelná rychlost pohybu pohyblivého zrcadla v rozsahu od 0,158 cm.s-1 do 6,28 cm.s</w:t>
            </w:r>
            <w:r w:rsidRPr="002F40C1">
              <w:rPr>
                <w:rFonts w:asciiTheme="minorHAnsi" w:hAnsiTheme="minorHAnsi"/>
                <w:b w:val="0"/>
                <w:szCs w:val="22"/>
                <w:vertAlign w:val="superscript"/>
              </w:rPr>
              <w:t>-1</w:t>
            </w:r>
            <w:r w:rsidRPr="002F40C1">
              <w:rPr>
                <w:rFonts w:asciiTheme="minorHAnsi" w:hAnsiTheme="minorHAnsi"/>
                <w:b w:val="0"/>
                <w:szCs w:val="22"/>
              </w:rPr>
              <w:t xml:space="preserve"> (počet volitelných rychlostí 15)</w:t>
            </w:r>
          </w:p>
          <w:p w14:paraId="675D33BE"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rychlost měření 1 scan za sekundu při standardním nastavení 4 cm</w:t>
            </w:r>
            <w:r w:rsidRPr="002F40C1">
              <w:rPr>
                <w:rFonts w:asciiTheme="minorHAnsi" w:hAnsiTheme="minorHAnsi"/>
                <w:b w:val="0"/>
                <w:szCs w:val="22"/>
                <w:vertAlign w:val="superscript"/>
              </w:rPr>
              <w:t>-1</w:t>
            </w:r>
            <w:r w:rsidRPr="002F40C1">
              <w:rPr>
                <w:rFonts w:asciiTheme="minorHAnsi" w:hAnsiTheme="minorHAnsi"/>
                <w:b w:val="0"/>
                <w:szCs w:val="22"/>
              </w:rPr>
              <w:t xml:space="preserve"> s možností náhledu na spektrum v reálném čase</w:t>
            </w:r>
          </w:p>
          <w:p w14:paraId="7D970072"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rychlost měření 65 spekter za sekundu při rozlišení 16 cm</w:t>
            </w:r>
            <w:r w:rsidRPr="002F40C1">
              <w:rPr>
                <w:rFonts w:asciiTheme="minorHAnsi" w:hAnsiTheme="minorHAnsi"/>
                <w:b w:val="0"/>
                <w:szCs w:val="22"/>
                <w:vertAlign w:val="superscript"/>
              </w:rPr>
              <w:t>-1</w:t>
            </w:r>
            <w:r w:rsidRPr="002F40C1">
              <w:rPr>
                <w:rFonts w:asciiTheme="minorHAnsi" w:hAnsiTheme="minorHAnsi"/>
                <w:b w:val="0"/>
                <w:szCs w:val="22"/>
              </w:rPr>
              <w:t>, nebo 95 scanů za sekundu při rozlišení 32 cm</w:t>
            </w:r>
            <w:r w:rsidRPr="002F40C1">
              <w:rPr>
                <w:rFonts w:asciiTheme="minorHAnsi" w:hAnsiTheme="minorHAnsi"/>
                <w:b w:val="0"/>
                <w:szCs w:val="22"/>
                <w:vertAlign w:val="superscript"/>
              </w:rPr>
              <w:t>-1</w:t>
            </w:r>
          </w:p>
          <w:p w14:paraId="24F9225B" w14:textId="56030C8D"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Michelsonův interferometr s elektromechanickým pohybem</w:t>
            </w:r>
            <w:r w:rsidR="00EF16F8" w:rsidRPr="002F40C1">
              <w:rPr>
                <w:rFonts w:asciiTheme="minorHAnsi" w:hAnsiTheme="minorHAnsi"/>
                <w:b w:val="0"/>
                <w:szCs w:val="22"/>
              </w:rPr>
              <w:t>, bez</w:t>
            </w:r>
            <w:r w:rsidRPr="002F40C1">
              <w:rPr>
                <w:rFonts w:asciiTheme="minorHAnsi" w:hAnsiTheme="minorHAnsi"/>
                <w:b w:val="0"/>
                <w:szCs w:val="22"/>
              </w:rPr>
              <w:t>otěrový</w:t>
            </w:r>
          </w:p>
          <w:p w14:paraId="04A7CA2A" w14:textId="77777777" w:rsidR="00C1546D" w:rsidRPr="002F40C1" w:rsidRDefault="00C1546D" w:rsidP="00E13EB0">
            <w:pPr>
              <w:pStyle w:val="cena"/>
              <w:numPr>
                <w:ilvl w:val="0"/>
                <w:numId w:val="1"/>
              </w:numPr>
              <w:tabs>
                <w:tab w:val="clear" w:pos="8190"/>
              </w:tabs>
              <w:spacing w:before="60" w:line="240" w:lineRule="auto"/>
              <w:ind w:right="0"/>
              <w:rPr>
                <w:rFonts w:asciiTheme="minorHAnsi" w:hAnsiTheme="minorHAnsi"/>
                <w:b w:val="0"/>
                <w:szCs w:val="22"/>
              </w:rPr>
            </w:pPr>
            <w:r w:rsidRPr="002F40C1">
              <w:rPr>
                <w:rFonts w:asciiTheme="minorHAnsi" w:hAnsiTheme="minorHAnsi"/>
                <w:b w:val="0"/>
                <w:szCs w:val="22"/>
              </w:rPr>
              <w:t>automatická elektronická justáž spektrometru Autotune</w:t>
            </w:r>
            <w:r w:rsidRPr="002F40C1">
              <w:rPr>
                <w:rFonts w:asciiTheme="minorHAnsi" w:hAnsiTheme="minorHAnsi"/>
                <w:szCs w:val="22"/>
              </w:rPr>
              <w:t xml:space="preserve"> - </w:t>
            </w:r>
            <w:r w:rsidRPr="002F40C1">
              <w:rPr>
                <w:rFonts w:asciiTheme="minorHAnsi" w:hAnsiTheme="minorHAnsi"/>
                <w:b w:val="0"/>
                <w:szCs w:val="22"/>
              </w:rPr>
              <w:t>seřizování spektrometru před vlastním měřením (např. korekce na teplotní roztažnost materiálu děliče paprsků - samostatná hardwarová elektronická a softwarová funkce</w:t>
            </w:r>
          </w:p>
          <w:p w14:paraId="34035D37" w14:textId="56CBCFEB" w:rsidR="00C1546D" w:rsidRPr="002F40C1" w:rsidRDefault="00C1546D" w:rsidP="00E13EB0">
            <w:pPr>
              <w:pStyle w:val="cena"/>
              <w:numPr>
                <w:ilvl w:val="0"/>
                <w:numId w:val="1"/>
              </w:numPr>
              <w:tabs>
                <w:tab w:val="clear" w:pos="8190"/>
              </w:tabs>
              <w:spacing w:before="60" w:line="240" w:lineRule="auto"/>
              <w:ind w:right="0"/>
              <w:rPr>
                <w:rFonts w:asciiTheme="minorHAnsi" w:hAnsiTheme="minorHAnsi"/>
                <w:b w:val="0"/>
                <w:szCs w:val="22"/>
              </w:rPr>
            </w:pPr>
            <w:r w:rsidRPr="002F40C1">
              <w:rPr>
                <w:rFonts w:asciiTheme="minorHAnsi" w:hAnsiTheme="minorHAnsi"/>
                <w:b w:val="0"/>
                <w:szCs w:val="22"/>
              </w:rPr>
              <w:t xml:space="preserve">elektronické dynamické nastavování optiky Dynamic Alignment - nepřetržitá elektronická dynamická optimalizace optické lavice (tj. optimalizace systému při každém scanu, tzn., že optická lavice FTIR spektrometru je optimalizována na maximální energetickou propustnost záření), </w:t>
            </w:r>
          </w:p>
          <w:p w14:paraId="001BC40D" w14:textId="53EEA314"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systém jednodotekového ovládání - hardwarová tlačítka pro volbu měření ve všech měřících modulech (stisknutí tlačítka znamená změnu nastavení hardware spektrometru popř. i včetně automatické výměny děliče paprsků</w:t>
            </w:r>
            <w:r w:rsidR="00B33BFC" w:rsidRPr="002F40C1">
              <w:rPr>
                <w:rFonts w:asciiTheme="minorHAnsi" w:hAnsiTheme="minorHAnsi"/>
                <w:b w:val="0"/>
                <w:szCs w:val="22"/>
              </w:rPr>
              <w:t>, start měření pozadí a start měření vzorku</w:t>
            </w:r>
          </w:p>
          <w:p w14:paraId="443CDB9F"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 xml:space="preserve">zatěsněná konstrukce krytu spektrometru s možností profukování přístroje suchým inertním plynem nebo suchým vzduchem </w:t>
            </w:r>
          </w:p>
          <w:p w14:paraId="6DC245BE" w14:textId="77777777" w:rsidR="00C1546D" w:rsidRPr="002F40C1" w:rsidRDefault="00C1546D"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vzorkový prostor spektrometru umožňuje:</w:t>
            </w:r>
          </w:p>
          <w:p w14:paraId="50FA703A" w14:textId="77777777" w:rsidR="00C1546D" w:rsidRPr="002F40C1" w:rsidRDefault="00C1546D" w:rsidP="00E13EB0">
            <w:pPr>
              <w:numPr>
                <w:ilvl w:val="1"/>
                <w:numId w:val="1"/>
              </w:numPr>
              <w:spacing w:after="0" w:line="240" w:lineRule="auto"/>
              <w:jc w:val="left"/>
            </w:pPr>
            <w:r w:rsidRPr="002F40C1">
              <w:lastRenderedPageBreak/>
              <w:t>automatickou rekognoskaci různých měřících nástavců vč. automatického nastavení experimentálních parametrů;</w:t>
            </w:r>
          </w:p>
          <w:p w14:paraId="32B0319F" w14:textId="77777777" w:rsidR="00C1546D" w:rsidRPr="002F40C1" w:rsidRDefault="00C1546D" w:rsidP="00E13EB0">
            <w:pPr>
              <w:numPr>
                <w:ilvl w:val="1"/>
                <w:numId w:val="1"/>
              </w:numPr>
              <w:spacing w:after="0" w:line="240" w:lineRule="auto"/>
              <w:jc w:val="left"/>
            </w:pPr>
            <w:r w:rsidRPr="002F40C1">
              <w:t>použití dlouhocestných plynových kyvet (optická dráha min. 10 m)</w:t>
            </w:r>
          </w:p>
          <w:p w14:paraId="2C6C5E5B" w14:textId="77777777" w:rsidR="00C1546D" w:rsidRPr="002F40C1" w:rsidRDefault="00C1546D" w:rsidP="00E13EB0">
            <w:pPr>
              <w:numPr>
                <w:ilvl w:val="1"/>
                <w:numId w:val="1"/>
              </w:numPr>
              <w:spacing w:after="0" w:line="240" w:lineRule="auto"/>
              <w:jc w:val="left"/>
              <w:rPr>
                <w:bCs/>
              </w:rPr>
            </w:pPr>
            <w:r w:rsidRPr="002F40C1">
              <w:rPr>
                <w:bCs/>
              </w:rPr>
              <w:t>softwarově řízené automatizované vkládání těsnících závěrek (klapek) do vzorkového prostoru pro zachování inertní atmosféry spektrometru při manipulaci se vzorkem</w:t>
            </w:r>
          </w:p>
          <w:p w14:paraId="791CBE63" w14:textId="77777777" w:rsidR="00D56B73" w:rsidRPr="002F40C1" w:rsidRDefault="00D56B73" w:rsidP="00E13EB0">
            <w:pPr>
              <w:pStyle w:val="cena"/>
              <w:numPr>
                <w:ilvl w:val="0"/>
                <w:numId w:val="1"/>
              </w:numPr>
              <w:tabs>
                <w:tab w:val="clear" w:pos="8190"/>
              </w:tabs>
              <w:spacing w:before="60" w:after="60" w:line="240" w:lineRule="auto"/>
              <w:ind w:right="0"/>
              <w:jc w:val="left"/>
              <w:rPr>
                <w:rFonts w:asciiTheme="minorHAnsi" w:hAnsiTheme="minorHAnsi"/>
                <w:b w:val="0"/>
                <w:bCs/>
                <w:szCs w:val="22"/>
              </w:rPr>
            </w:pPr>
            <w:r w:rsidRPr="002F40C1">
              <w:rPr>
                <w:rFonts w:asciiTheme="minorHAnsi" w:hAnsiTheme="minorHAnsi"/>
                <w:b w:val="0"/>
                <w:bCs/>
                <w:szCs w:val="22"/>
              </w:rPr>
              <w:t>komunikační rozhraní mezi přístrojem a PC je řešeno pomocí kabelu využívající USB protokol</w:t>
            </w:r>
          </w:p>
          <w:p w14:paraId="5EC0D652" w14:textId="446A1A84" w:rsidR="00D56B73" w:rsidRPr="002F40C1" w:rsidRDefault="00D56B73" w:rsidP="00E13EB0">
            <w:pPr>
              <w:pStyle w:val="cena"/>
              <w:numPr>
                <w:ilvl w:val="0"/>
                <w:numId w:val="1"/>
              </w:numPr>
              <w:tabs>
                <w:tab w:val="clear" w:pos="8190"/>
              </w:tabs>
              <w:spacing w:before="60" w:after="60" w:line="240" w:lineRule="auto"/>
              <w:ind w:right="0"/>
              <w:jc w:val="left"/>
              <w:rPr>
                <w:rFonts w:asciiTheme="minorHAnsi" w:hAnsiTheme="minorHAnsi"/>
                <w:b w:val="0"/>
                <w:bCs/>
                <w:szCs w:val="22"/>
              </w:rPr>
            </w:pPr>
            <w:r w:rsidRPr="002F40C1">
              <w:rPr>
                <w:rFonts w:asciiTheme="minorHAnsi" w:hAnsiTheme="minorHAnsi"/>
                <w:b w:val="0"/>
                <w:bCs/>
                <w:szCs w:val="22"/>
              </w:rPr>
              <w:t>hmotnost spektrometru do 65 kg</w:t>
            </w:r>
          </w:p>
          <w:p w14:paraId="3578DE28" w14:textId="08F91152" w:rsidR="00B33BFC" w:rsidRPr="002F40C1" w:rsidRDefault="00B33BFC" w:rsidP="00B33BFC">
            <w:pPr>
              <w:pStyle w:val="cena"/>
              <w:numPr>
                <w:ilvl w:val="0"/>
                <w:numId w:val="1"/>
              </w:numPr>
              <w:tabs>
                <w:tab w:val="clear" w:pos="8190"/>
              </w:tabs>
              <w:spacing w:before="60" w:after="60" w:line="240" w:lineRule="auto"/>
              <w:ind w:right="0"/>
              <w:jc w:val="left"/>
              <w:rPr>
                <w:rFonts w:asciiTheme="minorHAnsi" w:hAnsiTheme="minorHAnsi"/>
                <w:b w:val="0"/>
                <w:szCs w:val="22"/>
              </w:rPr>
            </w:pPr>
            <w:r w:rsidRPr="002F40C1">
              <w:rPr>
                <w:rFonts w:asciiTheme="minorHAnsi" w:hAnsiTheme="minorHAnsi"/>
                <w:b w:val="0"/>
                <w:szCs w:val="22"/>
              </w:rPr>
              <w:t>anglické a české manuály</w:t>
            </w:r>
          </w:p>
          <w:p w14:paraId="50C9665E" w14:textId="77777777" w:rsidR="00D56B73" w:rsidRPr="002F40C1" w:rsidRDefault="00D56B73" w:rsidP="00E13EB0">
            <w:pPr>
              <w:numPr>
                <w:ilvl w:val="0"/>
                <w:numId w:val="1"/>
              </w:numPr>
              <w:spacing w:after="0" w:line="240" w:lineRule="auto"/>
              <w:jc w:val="left"/>
              <w:rPr>
                <w:smallCaps/>
              </w:rPr>
            </w:pPr>
            <w:r w:rsidRPr="002F40C1">
              <w:rPr>
                <w:bCs/>
              </w:rPr>
              <w:t>možnost budoucího doplnění spektrometru o:</w:t>
            </w:r>
          </w:p>
          <w:p w14:paraId="59690BD9" w14:textId="77777777" w:rsidR="00D56B73" w:rsidRPr="002F40C1" w:rsidRDefault="00D56B73" w:rsidP="00E13EB0">
            <w:pPr>
              <w:numPr>
                <w:ilvl w:val="1"/>
                <w:numId w:val="1"/>
              </w:numPr>
              <w:spacing w:after="0" w:line="240" w:lineRule="auto"/>
              <w:jc w:val="left"/>
              <w:rPr>
                <w:smallCaps/>
              </w:rPr>
            </w:pPr>
            <w:r w:rsidRPr="002F40C1">
              <w:rPr>
                <w:bCs/>
              </w:rPr>
              <w:t>GC-IR modul včetně vyhřívané transferline a lightpipe s MCT-A detektorem (s minimálním spektrálním rozsahem 11.700 – 600 cm</w:t>
            </w:r>
            <w:r w:rsidRPr="002F40C1">
              <w:rPr>
                <w:bCs/>
                <w:vertAlign w:val="superscript"/>
              </w:rPr>
              <w:t>-1</w:t>
            </w:r>
            <w:r w:rsidRPr="002F40C1">
              <w:rPr>
                <w:bCs/>
              </w:rPr>
              <w:t>)</w:t>
            </w:r>
          </w:p>
          <w:p w14:paraId="2DF86CA8" w14:textId="77777777" w:rsidR="00D56B73" w:rsidRPr="002F40C1" w:rsidRDefault="00D56B73" w:rsidP="00E13EB0">
            <w:pPr>
              <w:numPr>
                <w:ilvl w:val="1"/>
                <w:numId w:val="1"/>
              </w:numPr>
              <w:spacing w:after="0" w:line="240" w:lineRule="auto"/>
              <w:jc w:val="left"/>
              <w:rPr>
                <w:smallCaps/>
              </w:rPr>
            </w:pPr>
            <w:r w:rsidRPr="002F40C1">
              <w:rPr>
                <w:bCs/>
              </w:rPr>
              <w:t>infračervený mikroskop měřící ve střední infračervené oblasti (popř. i ve vzdálené infračervené oblasti)</w:t>
            </w:r>
          </w:p>
          <w:p w14:paraId="2E6D474B" w14:textId="77777777" w:rsidR="00D56B73" w:rsidRPr="002F40C1" w:rsidRDefault="00D56B73" w:rsidP="00E13EB0">
            <w:pPr>
              <w:numPr>
                <w:ilvl w:val="1"/>
                <w:numId w:val="1"/>
              </w:numPr>
              <w:spacing w:after="0" w:line="240" w:lineRule="auto"/>
              <w:jc w:val="left"/>
              <w:rPr>
                <w:smallCaps/>
              </w:rPr>
            </w:pPr>
            <w:r w:rsidRPr="002F40C1">
              <w:rPr>
                <w:bCs/>
              </w:rPr>
              <w:t>TGA-IR interface</w:t>
            </w:r>
          </w:p>
          <w:p w14:paraId="3154CF0E" w14:textId="77777777" w:rsidR="00D56B73" w:rsidRPr="002F40C1" w:rsidRDefault="00D56B73" w:rsidP="00E13EB0">
            <w:pPr>
              <w:numPr>
                <w:ilvl w:val="1"/>
                <w:numId w:val="1"/>
              </w:numPr>
              <w:spacing w:after="0" w:line="240" w:lineRule="auto"/>
              <w:jc w:val="left"/>
              <w:rPr>
                <w:smallCaps/>
              </w:rPr>
            </w:pPr>
            <w:r w:rsidRPr="002F40C1">
              <w:rPr>
                <w:bCs/>
              </w:rPr>
              <w:t>spojení infračervené spektroskopie s reometrem</w:t>
            </w:r>
          </w:p>
          <w:p w14:paraId="1D981884" w14:textId="77777777" w:rsidR="00D56B73" w:rsidRPr="002F40C1" w:rsidRDefault="00D56B73" w:rsidP="00E13EB0">
            <w:pPr>
              <w:numPr>
                <w:ilvl w:val="1"/>
                <w:numId w:val="1"/>
              </w:numPr>
              <w:spacing w:after="0" w:line="240" w:lineRule="auto"/>
              <w:jc w:val="left"/>
              <w:rPr>
                <w:smallCaps/>
              </w:rPr>
            </w:pPr>
            <w:r w:rsidRPr="002F40C1">
              <w:rPr>
                <w:bCs/>
              </w:rPr>
              <w:t>infračervený polarizátor se softwarovým řízením (včetně nastavování rotace polarizátoru)</w:t>
            </w:r>
          </w:p>
          <w:p w14:paraId="24D2F95F" w14:textId="652EF8A0" w:rsidR="00AB72FD" w:rsidRPr="002F40C1" w:rsidRDefault="00AB72FD" w:rsidP="00E13EB0">
            <w:pPr>
              <w:numPr>
                <w:ilvl w:val="1"/>
                <w:numId w:val="1"/>
              </w:numPr>
              <w:spacing w:after="0" w:line="240" w:lineRule="auto"/>
              <w:jc w:val="left"/>
              <w:rPr>
                <w:bCs/>
              </w:rPr>
            </w:pPr>
            <w:r w:rsidRPr="002F40C1">
              <w:rPr>
                <w:bCs/>
              </w:rPr>
              <w:t>FT- Ramanův mikrospektrometr integrovaný do vzorkového prostoru</w:t>
            </w:r>
          </w:p>
          <w:p w14:paraId="6EF13DEB" w14:textId="77777777" w:rsidR="00D56B73" w:rsidRPr="002F40C1" w:rsidRDefault="00D56B73" w:rsidP="00E13EB0">
            <w:pPr>
              <w:numPr>
                <w:ilvl w:val="1"/>
                <w:numId w:val="1"/>
              </w:numPr>
              <w:spacing w:after="0" w:line="240" w:lineRule="auto"/>
              <w:jc w:val="left"/>
              <w:rPr>
                <w:bCs/>
              </w:rPr>
            </w:pPr>
            <w:r w:rsidRPr="002F40C1">
              <w:rPr>
                <w:bCs/>
              </w:rPr>
              <w:t>externí vstupy IČ záření z levé i pravé strany spektrometru, kolimované nebo fokusované</w:t>
            </w:r>
          </w:p>
          <w:p w14:paraId="37E14287" w14:textId="561A2877" w:rsidR="00D56B73" w:rsidRPr="002F40C1" w:rsidRDefault="00D56B73" w:rsidP="00E13EB0">
            <w:pPr>
              <w:numPr>
                <w:ilvl w:val="1"/>
                <w:numId w:val="1"/>
              </w:numPr>
              <w:spacing w:after="0" w:line="240" w:lineRule="auto"/>
              <w:jc w:val="left"/>
              <w:rPr>
                <w:bCs/>
              </w:rPr>
            </w:pPr>
            <w:r w:rsidRPr="002F40C1">
              <w:rPr>
                <w:bCs/>
              </w:rPr>
              <w:t>externí PEM modul umožňující polarizační modulaci,</w:t>
            </w:r>
            <w:r w:rsidR="00B33BFC" w:rsidRPr="002F40C1">
              <w:rPr>
                <w:bCs/>
              </w:rPr>
              <w:t xml:space="preserve"> </w:t>
            </w:r>
            <w:r w:rsidRPr="002F40C1">
              <w:rPr>
                <w:bCs/>
              </w:rPr>
              <w:t>rozšíření na pokročilé měřící spektroskopické techniky Step Scan techniky (AM, PM, TRS, Multiple Modulation, fotoakustická step-scan spektroskopie, VCD apod.)</w:t>
            </w:r>
          </w:p>
          <w:p w14:paraId="57C20D15" w14:textId="77777777" w:rsidR="00D56B73" w:rsidRPr="002F40C1" w:rsidRDefault="00D56B73" w:rsidP="00E13EB0">
            <w:pPr>
              <w:numPr>
                <w:ilvl w:val="1"/>
                <w:numId w:val="1"/>
              </w:numPr>
              <w:spacing w:after="0" w:line="240" w:lineRule="auto"/>
              <w:jc w:val="left"/>
              <w:rPr>
                <w:bCs/>
              </w:rPr>
            </w:pPr>
            <w:r w:rsidRPr="002F40C1">
              <w:rPr>
                <w:bCs/>
              </w:rPr>
              <w:t>Modul SPR</w:t>
            </w:r>
          </w:p>
          <w:p w14:paraId="4A7CC8E0" w14:textId="1ED307C3" w:rsidR="00D56B73" w:rsidRPr="002F40C1" w:rsidRDefault="00D56B73" w:rsidP="00E13EB0">
            <w:pPr>
              <w:numPr>
                <w:ilvl w:val="1"/>
                <w:numId w:val="1"/>
              </w:numPr>
              <w:spacing w:after="0" w:line="240" w:lineRule="auto"/>
              <w:jc w:val="left"/>
              <w:rPr>
                <w:smallCaps/>
              </w:rPr>
            </w:pPr>
            <w:r w:rsidRPr="002F40C1">
              <w:rPr>
                <w:bCs/>
              </w:rPr>
              <w:t>rozšíření spektrálního rozsahu do viditelné a vzdálené oblasti (možnost minimálního měřícího rozsahu od 27.000 do 10 cm</w:t>
            </w:r>
            <w:r w:rsidRPr="002F40C1">
              <w:rPr>
                <w:bCs/>
                <w:vertAlign w:val="superscript"/>
              </w:rPr>
              <w:t>-1</w:t>
            </w:r>
            <w:r w:rsidRPr="002F40C1">
              <w:rPr>
                <w:bCs/>
              </w:rPr>
              <w:t>)</w:t>
            </w:r>
          </w:p>
          <w:p w14:paraId="415EE0D6" w14:textId="77777777" w:rsidR="00B21798" w:rsidRPr="002F40C1" w:rsidRDefault="00B21798"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lastRenderedPageBreak/>
              <w:t>ATR nástavec s jednoodrazovým diamantovým krystalem a s vlastním detektorem permanentně zabudovaný v dodaném spektrometru</w:t>
            </w:r>
          </w:p>
          <w:p w14:paraId="6FE437A6" w14:textId="77777777" w:rsidR="00B21798" w:rsidRPr="002F40C1" w:rsidRDefault="00B21798" w:rsidP="00E13EB0">
            <w:pPr>
              <w:numPr>
                <w:ilvl w:val="1"/>
                <w:numId w:val="1"/>
              </w:numPr>
              <w:spacing w:after="0" w:line="240" w:lineRule="auto"/>
              <w:jc w:val="left"/>
              <w:rPr>
                <w:bCs/>
              </w:rPr>
            </w:pPr>
            <w:r w:rsidRPr="002F40C1">
              <w:rPr>
                <w:bCs/>
              </w:rPr>
              <w:t>ATR nástavec umožňující měření ve spektrálním rozsahu 4.000 – 100 cm-1 (v závislosti na použitém děliči paprsků)</w:t>
            </w:r>
          </w:p>
          <w:p w14:paraId="2137C734" w14:textId="77777777" w:rsidR="00B21798" w:rsidRPr="002F40C1" w:rsidRDefault="00B21798" w:rsidP="00E13EB0">
            <w:pPr>
              <w:numPr>
                <w:ilvl w:val="1"/>
                <w:numId w:val="1"/>
              </w:numPr>
              <w:spacing w:after="0" w:line="240" w:lineRule="auto"/>
              <w:jc w:val="left"/>
              <w:rPr>
                <w:bCs/>
              </w:rPr>
            </w:pPr>
            <w:r w:rsidRPr="002F40C1">
              <w:rPr>
                <w:bCs/>
              </w:rPr>
              <w:t>ATR nástavec neomezuje standartní vzorkový prostor spektrometru</w:t>
            </w:r>
          </w:p>
          <w:p w14:paraId="735AAFF2" w14:textId="73E1DEF1" w:rsidR="00D56B73" w:rsidRPr="002F40C1" w:rsidRDefault="00B21798" w:rsidP="00E13EB0">
            <w:pPr>
              <w:numPr>
                <w:ilvl w:val="1"/>
                <w:numId w:val="1"/>
              </w:numPr>
              <w:spacing w:after="0" w:line="240" w:lineRule="auto"/>
              <w:jc w:val="left"/>
              <w:rPr>
                <w:bCs/>
              </w:rPr>
            </w:pPr>
            <w:r w:rsidRPr="002F40C1">
              <w:rPr>
                <w:bCs/>
              </w:rPr>
              <w:t>přepínání na měření pomocí ATR nástavce je softwarové nebo pomocí hardwarového tlačítka na těle spektrometru (bez dalšího manuálního zásahu obsluhy)</w:t>
            </w:r>
          </w:p>
          <w:p w14:paraId="6528A14B" w14:textId="5894AD02" w:rsidR="004456A6" w:rsidRPr="002F40C1" w:rsidRDefault="00B21798" w:rsidP="00E13EB0">
            <w:pPr>
              <w:pStyle w:val="cena"/>
              <w:numPr>
                <w:ilvl w:val="0"/>
                <w:numId w:val="1"/>
              </w:numPr>
              <w:tabs>
                <w:tab w:val="clear" w:pos="8190"/>
              </w:tabs>
              <w:spacing w:before="60" w:after="60" w:line="240" w:lineRule="auto"/>
              <w:ind w:right="0"/>
              <w:jc w:val="left"/>
              <w:rPr>
                <w:i/>
                <w:szCs w:val="22"/>
                <w:lang w:eastAsia="cs-CZ"/>
              </w:rPr>
            </w:pPr>
            <w:r w:rsidRPr="002F40C1">
              <w:rPr>
                <w:rFonts w:asciiTheme="minorHAnsi" w:hAnsiTheme="minorHAnsi"/>
                <w:b w:val="0"/>
                <w:szCs w:val="22"/>
              </w:rPr>
              <w:t>Rozebíratelná kapalinová kyveta, průměr okének 32 mm, KBr a BaF</w:t>
            </w:r>
            <w:r w:rsidRPr="002F40C1">
              <w:rPr>
                <w:rFonts w:asciiTheme="minorHAnsi" w:hAnsiTheme="minorHAnsi"/>
                <w:b w:val="0"/>
                <w:szCs w:val="22"/>
                <w:vertAlign w:val="subscript"/>
              </w:rPr>
              <w:t>2</w:t>
            </w:r>
            <w:r w:rsidRPr="002F40C1">
              <w:rPr>
                <w:rFonts w:asciiTheme="minorHAnsi" w:hAnsiTheme="minorHAnsi"/>
                <w:b w:val="0"/>
                <w:szCs w:val="22"/>
              </w:rPr>
              <w:t xml:space="preserve"> okénka, distanční kroužky 6, 15, 25, 50, 100, 200, 500 a 1000 mikrometrů</w:t>
            </w:r>
          </w:p>
          <w:p w14:paraId="4BADE98C" w14:textId="77777777" w:rsidR="00B21798" w:rsidRPr="002F40C1" w:rsidRDefault="00B21798" w:rsidP="00E13EB0">
            <w:pPr>
              <w:pStyle w:val="cena"/>
              <w:numPr>
                <w:ilvl w:val="0"/>
                <w:numId w:val="1"/>
              </w:numPr>
              <w:tabs>
                <w:tab w:val="clear" w:pos="8190"/>
              </w:tabs>
              <w:spacing w:before="60" w:after="60" w:line="240" w:lineRule="auto"/>
              <w:ind w:right="0"/>
              <w:jc w:val="left"/>
              <w:rPr>
                <w:i/>
                <w:szCs w:val="22"/>
                <w:lang w:eastAsia="cs-CZ"/>
              </w:rPr>
            </w:pPr>
            <w:r w:rsidRPr="002F40C1">
              <w:rPr>
                <w:rFonts w:asciiTheme="minorHAnsi" w:hAnsiTheme="minorHAnsi"/>
                <w:b w:val="0"/>
                <w:szCs w:val="22"/>
              </w:rPr>
              <w:t>Nujolová kyveta, průměr okének 25 mm, KBr, PE a BaF</w:t>
            </w:r>
            <w:r w:rsidRPr="002F40C1">
              <w:rPr>
                <w:rFonts w:asciiTheme="minorHAnsi" w:hAnsiTheme="minorHAnsi"/>
                <w:b w:val="0"/>
                <w:szCs w:val="22"/>
                <w:vertAlign w:val="subscript"/>
              </w:rPr>
              <w:t>2</w:t>
            </w:r>
            <w:r w:rsidRPr="002F40C1">
              <w:rPr>
                <w:rFonts w:asciiTheme="minorHAnsi" w:hAnsiTheme="minorHAnsi"/>
                <w:b w:val="0"/>
                <w:szCs w:val="22"/>
              </w:rPr>
              <w:t xml:space="preserve"> okénka</w:t>
            </w:r>
          </w:p>
          <w:p w14:paraId="255A76D6" w14:textId="27512AFE" w:rsidR="002E6E10" w:rsidRPr="002F40C1" w:rsidRDefault="002E6E10" w:rsidP="00E13EB0">
            <w:pPr>
              <w:pStyle w:val="cena"/>
              <w:numPr>
                <w:ilvl w:val="0"/>
                <w:numId w:val="1"/>
              </w:numPr>
              <w:tabs>
                <w:tab w:val="clear" w:pos="8190"/>
              </w:tabs>
              <w:spacing w:before="60" w:after="60" w:line="240" w:lineRule="auto"/>
              <w:ind w:right="0"/>
              <w:jc w:val="left"/>
              <w:rPr>
                <w:i/>
                <w:szCs w:val="22"/>
                <w:lang w:eastAsia="cs-CZ"/>
              </w:rPr>
            </w:pPr>
            <w:r w:rsidRPr="002F40C1">
              <w:rPr>
                <w:rFonts w:asciiTheme="minorHAnsi" w:hAnsiTheme="minorHAnsi"/>
                <w:b w:val="0"/>
                <w:szCs w:val="22"/>
              </w:rPr>
              <w:t>Jednoodrazový Ge krystal pro nástavec Smart iTX</w:t>
            </w:r>
          </w:p>
          <w:p w14:paraId="66A81B45" w14:textId="77777777" w:rsidR="00F87705" w:rsidRPr="002F40C1" w:rsidRDefault="00F87705"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 xml:space="preserve">Kompletní ovládací, diagnostický a validační software </w:t>
            </w:r>
          </w:p>
          <w:p w14:paraId="10A1B7E6" w14:textId="77777777" w:rsidR="00F87705" w:rsidRPr="002F40C1" w:rsidRDefault="00F87705" w:rsidP="00E13EB0">
            <w:pPr>
              <w:pStyle w:val="cena"/>
              <w:numPr>
                <w:ilvl w:val="0"/>
                <w:numId w:val="1"/>
              </w:numPr>
              <w:tabs>
                <w:tab w:val="clear" w:pos="8190"/>
              </w:tabs>
              <w:spacing w:before="60" w:line="240" w:lineRule="auto"/>
              <w:ind w:right="0"/>
              <w:jc w:val="left"/>
              <w:rPr>
                <w:rFonts w:asciiTheme="minorHAnsi" w:hAnsiTheme="minorHAnsi"/>
                <w:b w:val="0"/>
                <w:szCs w:val="22"/>
              </w:rPr>
            </w:pPr>
            <w:r w:rsidRPr="002F40C1">
              <w:rPr>
                <w:rFonts w:asciiTheme="minorHAnsi" w:hAnsiTheme="minorHAnsi"/>
                <w:b w:val="0"/>
                <w:szCs w:val="22"/>
              </w:rPr>
              <w:t>softwarové vybavení umožňující:</w:t>
            </w:r>
          </w:p>
          <w:p w14:paraId="0DCB6911" w14:textId="77777777" w:rsidR="00F87705" w:rsidRPr="002F40C1" w:rsidRDefault="00F87705" w:rsidP="00E13EB0">
            <w:pPr>
              <w:pStyle w:val="ListParagraph"/>
              <w:numPr>
                <w:ilvl w:val="1"/>
                <w:numId w:val="1"/>
              </w:numPr>
              <w:spacing w:after="0" w:line="240" w:lineRule="auto"/>
              <w:jc w:val="left"/>
              <w:rPr>
                <w:bCs/>
              </w:rPr>
            </w:pPr>
            <w:r w:rsidRPr="002F40C1">
              <w:rPr>
                <w:bCs/>
              </w:rPr>
              <w:t>ovládání systému pomocí grafických ikon a horkých kláves</w:t>
            </w:r>
          </w:p>
          <w:p w14:paraId="38402765" w14:textId="4F8A60AE" w:rsidR="00F87705" w:rsidRPr="002F40C1" w:rsidRDefault="00F87705" w:rsidP="00E13EB0">
            <w:pPr>
              <w:pStyle w:val="ListParagraph"/>
              <w:numPr>
                <w:ilvl w:val="1"/>
                <w:numId w:val="1"/>
              </w:numPr>
              <w:spacing w:after="0" w:line="240" w:lineRule="auto"/>
              <w:jc w:val="left"/>
              <w:rPr>
                <w:bCs/>
              </w:rPr>
            </w:pPr>
            <w:r w:rsidRPr="002F40C1">
              <w:rPr>
                <w:bCs/>
              </w:rPr>
              <w:t>spektrální matematiku</w:t>
            </w:r>
          </w:p>
          <w:p w14:paraId="7ABFAEE2" w14:textId="5929EB99" w:rsidR="00F87705" w:rsidRPr="002F40C1" w:rsidRDefault="00F87705" w:rsidP="00E13EB0">
            <w:pPr>
              <w:numPr>
                <w:ilvl w:val="1"/>
                <w:numId w:val="1"/>
              </w:numPr>
              <w:spacing w:after="0" w:line="240" w:lineRule="auto"/>
              <w:jc w:val="left"/>
              <w:rPr>
                <w:bCs/>
              </w:rPr>
            </w:pPr>
            <w:r w:rsidRPr="002F40C1">
              <w:rPr>
                <w:bCs/>
              </w:rPr>
              <w:t>práci s knihovnami spekter</w:t>
            </w:r>
          </w:p>
          <w:p w14:paraId="2B8A141F" w14:textId="74C6D817" w:rsidR="00CF7533" w:rsidRPr="002F40C1" w:rsidRDefault="00CF7533" w:rsidP="00E13EB0">
            <w:pPr>
              <w:numPr>
                <w:ilvl w:val="1"/>
                <w:numId w:val="1"/>
              </w:numPr>
              <w:spacing w:after="0" w:line="240" w:lineRule="auto"/>
              <w:jc w:val="left"/>
              <w:rPr>
                <w:bCs/>
              </w:rPr>
            </w:pPr>
            <w:r w:rsidRPr="002F40C1">
              <w:rPr>
                <w:bCs/>
              </w:rPr>
              <w:t>10-licencí programu pro operační systém Windows</w:t>
            </w:r>
            <w:r w:rsidR="00E23779">
              <w:rPr>
                <w:bCs/>
              </w:rPr>
              <w:t xml:space="preserve"> – </w:t>
            </w:r>
            <w:r w:rsidR="00E23779" w:rsidRPr="009421BF">
              <w:rPr>
                <w:bCs/>
              </w:rPr>
              <w:t xml:space="preserve">zadavatel umožňuje </w:t>
            </w:r>
            <w:r w:rsidR="00E23779" w:rsidRPr="00B73DCF">
              <w:rPr>
                <w:rFonts w:cstheme="minorHAnsi"/>
              </w:rPr>
              <w:t>možnost nabídnout rovnocenné řešení ve smyslu § 89 odst. 6 z.č. 134/2016 Sb. o zadávání veřejných zakázek (dále jen „ZZVZ“)</w:t>
            </w:r>
            <w:r w:rsidR="00E23779" w:rsidRPr="006F2EB9">
              <w:rPr>
                <w:rFonts w:cstheme="minorHAnsi"/>
                <w:b/>
              </w:rPr>
              <w:t>.</w:t>
            </w:r>
          </w:p>
          <w:p w14:paraId="0AABD333" w14:textId="47B602E3" w:rsidR="00F87705" w:rsidRPr="002F40C1" w:rsidRDefault="00F87705" w:rsidP="00E13EB0">
            <w:pPr>
              <w:numPr>
                <w:ilvl w:val="1"/>
                <w:numId w:val="1"/>
              </w:numPr>
              <w:spacing w:after="0" w:line="240" w:lineRule="auto"/>
              <w:jc w:val="left"/>
              <w:rPr>
                <w:bCs/>
              </w:rPr>
            </w:pPr>
            <w:r w:rsidRPr="002F40C1">
              <w:rPr>
                <w:bCs/>
              </w:rPr>
              <w:t xml:space="preserve">různými matematickými funkcemi ověření shody naměřeného spektra vůči jednomu či více spektrům standardů (včetně možnosti zvýšení citlivosti ověření shody pro vysoce podobná spektra), Search, QCheck, správce knihoven Library Manager, </w:t>
            </w:r>
            <w:r w:rsidR="00B33BFC" w:rsidRPr="002F40C1">
              <w:rPr>
                <w:bCs/>
              </w:rPr>
              <w:t>tvorba</w:t>
            </w:r>
            <w:r w:rsidRPr="002F40C1">
              <w:rPr>
                <w:bCs/>
              </w:rPr>
              <w:t xml:space="preserve"> vlastních knihoven spekter</w:t>
            </w:r>
          </w:p>
          <w:p w14:paraId="26A4FAFB" w14:textId="14E72959" w:rsidR="00F87705" w:rsidRPr="002F40C1" w:rsidRDefault="00F87705" w:rsidP="00E13EB0">
            <w:pPr>
              <w:numPr>
                <w:ilvl w:val="1"/>
                <w:numId w:val="1"/>
              </w:numPr>
              <w:spacing w:after="0" w:line="240" w:lineRule="auto"/>
              <w:jc w:val="left"/>
              <w:rPr>
                <w:bCs/>
              </w:rPr>
            </w:pPr>
            <w:r w:rsidRPr="002F40C1">
              <w:rPr>
                <w:bCs/>
              </w:rPr>
              <w:t>pokročilou ATR korekci (korekce intenzitní i vlnočtové osy pro možnost srovnávání infračervených ATR spekter se spektry transmisními) počítanou z indexu lomu vzorku, indexu lomu ATR krystalu, počtu odrazů a úhel dopadu záření na ATR krystal</w:t>
            </w:r>
          </w:p>
          <w:p w14:paraId="20AC24F2" w14:textId="77777777" w:rsidR="00F87705" w:rsidRPr="002F40C1" w:rsidRDefault="00F87705" w:rsidP="00E13EB0">
            <w:pPr>
              <w:numPr>
                <w:ilvl w:val="1"/>
                <w:numId w:val="1"/>
              </w:numPr>
              <w:spacing w:after="0" w:line="240" w:lineRule="auto"/>
              <w:jc w:val="left"/>
              <w:rPr>
                <w:bCs/>
              </w:rPr>
            </w:pPr>
            <w:r w:rsidRPr="002F40C1">
              <w:rPr>
                <w:bCs/>
              </w:rPr>
              <w:t>separaci překrývajících se spektrálních pásů</w:t>
            </w:r>
          </w:p>
          <w:p w14:paraId="0712167C" w14:textId="77777777" w:rsidR="00F87705" w:rsidRPr="002F40C1" w:rsidRDefault="00F87705" w:rsidP="00E13EB0">
            <w:pPr>
              <w:numPr>
                <w:ilvl w:val="1"/>
                <w:numId w:val="1"/>
              </w:numPr>
              <w:spacing w:after="0" w:line="240" w:lineRule="auto"/>
              <w:jc w:val="left"/>
              <w:rPr>
                <w:bCs/>
              </w:rPr>
            </w:pPr>
            <w:r w:rsidRPr="002F40C1">
              <w:rPr>
                <w:bCs/>
              </w:rPr>
              <w:t>interpretaci infračervených spekter</w:t>
            </w:r>
          </w:p>
          <w:p w14:paraId="5BF539DC" w14:textId="77777777" w:rsidR="00F87705" w:rsidRPr="002F40C1" w:rsidRDefault="00F87705" w:rsidP="00E13EB0">
            <w:pPr>
              <w:numPr>
                <w:ilvl w:val="1"/>
                <w:numId w:val="1"/>
              </w:numPr>
              <w:spacing w:after="0" w:line="240" w:lineRule="auto"/>
              <w:jc w:val="left"/>
              <w:rPr>
                <w:bCs/>
              </w:rPr>
            </w:pPr>
            <w:r w:rsidRPr="002F40C1">
              <w:rPr>
                <w:bCs/>
              </w:rPr>
              <w:t>diagnostickou kontrolu zdroje zářeni, laseru, napájení, detektoru a elektroniky spektrometru, nastavení termínů preventivní údržby, atd.;</w:t>
            </w:r>
          </w:p>
          <w:p w14:paraId="69B98A35" w14:textId="77777777" w:rsidR="00F87705" w:rsidRPr="002F40C1" w:rsidRDefault="00F87705" w:rsidP="00E13EB0">
            <w:pPr>
              <w:numPr>
                <w:ilvl w:val="1"/>
                <w:numId w:val="1"/>
              </w:numPr>
              <w:spacing w:after="0" w:line="240" w:lineRule="auto"/>
              <w:jc w:val="left"/>
              <w:rPr>
                <w:bCs/>
              </w:rPr>
            </w:pPr>
            <w:r w:rsidRPr="002F40C1">
              <w:rPr>
                <w:bCs/>
              </w:rPr>
              <w:t>automatizovanou kontrolu funkčnosti zařízení (navíc uživatel musí mít možnost provádět samostatně kontrolní měření na dodaných certifikovaných standardech);</w:t>
            </w:r>
          </w:p>
          <w:p w14:paraId="0DF7F291" w14:textId="55EF4D85" w:rsidR="00F87705" w:rsidRPr="002F40C1" w:rsidRDefault="00F87705" w:rsidP="00E13EB0">
            <w:pPr>
              <w:numPr>
                <w:ilvl w:val="1"/>
                <w:numId w:val="1"/>
              </w:numPr>
              <w:spacing w:after="0" w:line="240" w:lineRule="auto"/>
              <w:jc w:val="left"/>
              <w:rPr>
                <w:bCs/>
              </w:rPr>
            </w:pPr>
            <w:r w:rsidRPr="002F40C1">
              <w:rPr>
                <w:bCs/>
              </w:rPr>
              <w:t>zabudovaný software ověření výkonnosti spektrometru SPV</w:t>
            </w:r>
          </w:p>
          <w:p w14:paraId="7C2159F2" w14:textId="77777777" w:rsidR="00F87705" w:rsidRPr="002F40C1" w:rsidRDefault="00F87705" w:rsidP="00E13EB0">
            <w:pPr>
              <w:numPr>
                <w:ilvl w:val="1"/>
                <w:numId w:val="1"/>
              </w:numPr>
              <w:spacing w:after="0" w:line="240" w:lineRule="auto"/>
              <w:jc w:val="left"/>
              <w:rPr>
                <w:bCs/>
              </w:rPr>
            </w:pPr>
            <w:r w:rsidRPr="002F40C1">
              <w:rPr>
                <w:bCs/>
              </w:rPr>
              <w:t>search, QCheck, správce knihoven Library Manager</w:t>
            </w:r>
          </w:p>
          <w:p w14:paraId="743799F2" w14:textId="04B115B8" w:rsidR="00F87705" w:rsidRPr="002F40C1" w:rsidRDefault="00F87705" w:rsidP="00E13EB0">
            <w:pPr>
              <w:numPr>
                <w:ilvl w:val="1"/>
                <w:numId w:val="1"/>
              </w:numPr>
              <w:spacing w:after="0" w:line="240" w:lineRule="auto"/>
              <w:jc w:val="left"/>
              <w:rPr>
                <w:bCs/>
              </w:rPr>
            </w:pPr>
            <w:r w:rsidRPr="002F40C1">
              <w:rPr>
                <w:bCs/>
              </w:rPr>
              <w:t xml:space="preserve">Knihovny (digitální databáze) infračervených spekter organických a anorganických látek, polymerů. Celkem minimálně 30.000 IČ spekter </w:t>
            </w:r>
            <w:r w:rsidR="0093533C" w:rsidRPr="002F40C1">
              <w:rPr>
                <w:bCs/>
              </w:rPr>
              <w:t>s</w:t>
            </w:r>
            <w:r w:rsidRPr="002F40C1">
              <w:rPr>
                <w:bCs/>
              </w:rPr>
              <w:t> vysokým rozlišením.</w:t>
            </w:r>
          </w:p>
          <w:p w14:paraId="26849EBD" w14:textId="190C5F82" w:rsidR="00F87705" w:rsidRPr="002F40C1" w:rsidRDefault="0093533C" w:rsidP="00E13EB0">
            <w:pPr>
              <w:numPr>
                <w:ilvl w:val="1"/>
                <w:numId w:val="1"/>
              </w:numPr>
              <w:spacing w:after="0" w:line="240" w:lineRule="auto"/>
              <w:jc w:val="left"/>
              <w:rPr>
                <w:bCs/>
              </w:rPr>
            </w:pPr>
            <w:r w:rsidRPr="002F40C1">
              <w:rPr>
                <w:bCs/>
              </w:rPr>
              <w:t>tvorba protokolů</w:t>
            </w:r>
            <w:r w:rsidR="00CF7533" w:rsidRPr="002F40C1">
              <w:rPr>
                <w:bCs/>
              </w:rPr>
              <w:t>, šablony protokolů, digitální kniha protokolů s možností třídění podle data vzniku, uživatele a dalších kategorií, možnost výběru spekter z protokolů pro další vyhodnocení</w:t>
            </w:r>
          </w:p>
          <w:p w14:paraId="71F2E6C9" w14:textId="77777777" w:rsidR="00F87705" w:rsidRPr="002F40C1" w:rsidRDefault="00F87705" w:rsidP="00E13EB0">
            <w:pPr>
              <w:numPr>
                <w:ilvl w:val="1"/>
                <w:numId w:val="1"/>
              </w:numPr>
              <w:spacing w:after="0" w:line="240" w:lineRule="auto"/>
              <w:jc w:val="left"/>
              <w:rPr>
                <w:i/>
                <w:lang w:eastAsia="cs-CZ"/>
              </w:rPr>
            </w:pPr>
            <w:r w:rsidRPr="002F40C1">
              <w:rPr>
                <w:bCs/>
              </w:rPr>
              <w:t xml:space="preserve">validace spektrometru dle normy ASTM 1421-99 při instalaci, příslušenství a software pro validaci systému </w:t>
            </w:r>
          </w:p>
          <w:p w14:paraId="68868058" w14:textId="20F6A1AC" w:rsidR="00CF7533" w:rsidRPr="002F40C1" w:rsidRDefault="00CF7533" w:rsidP="00E13EB0">
            <w:pPr>
              <w:numPr>
                <w:ilvl w:val="1"/>
                <w:numId w:val="1"/>
              </w:numPr>
              <w:spacing w:after="0" w:line="240" w:lineRule="auto"/>
              <w:jc w:val="left"/>
              <w:rPr>
                <w:i/>
                <w:lang w:eastAsia="cs-CZ"/>
              </w:rPr>
            </w:pPr>
            <w:r w:rsidRPr="002F40C1">
              <w:t>Program pro kvantitativní a kvalitativní analýzu (Lambert-Beer, CLS,…</w:t>
            </w:r>
            <w:r w:rsidR="00E23779">
              <w:t xml:space="preserve"> - </w:t>
            </w:r>
            <w:r w:rsidR="00E23779" w:rsidRPr="00752542">
              <w:rPr>
                <w:bCs/>
              </w:rPr>
              <w:t xml:space="preserve">zadavatel umožňuje </w:t>
            </w:r>
            <w:r w:rsidR="00E23779" w:rsidRPr="00752542">
              <w:rPr>
                <w:rFonts w:cstheme="minorHAnsi"/>
              </w:rPr>
              <w:t>možnost nabídnout rovnocenné řešení</w:t>
            </w:r>
            <w:r w:rsidR="00E23779">
              <w:rPr>
                <w:rFonts w:cstheme="minorHAnsi"/>
              </w:rPr>
              <w:t xml:space="preserve"> ve smyslu § 89 odst. 6 </w:t>
            </w:r>
            <w:r w:rsidR="00E23779" w:rsidRPr="00752542">
              <w:rPr>
                <w:rFonts w:cstheme="minorHAnsi"/>
              </w:rPr>
              <w:t>ZZVZ</w:t>
            </w:r>
            <w:r w:rsidRPr="002F40C1">
              <w:t>). Chemometrický modul (metody PLS, DA,….) umožňující tvorbu multivariačních chemometrických algoritmů, tj. metod na stanovení fyzikálních a chemických parametrů u matričně podobných vzorků. Kompletní manuály v</w:t>
            </w:r>
            <w:r w:rsidR="00694229">
              <w:t> </w:t>
            </w:r>
            <w:r w:rsidRPr="002F40C1">
              <w:t>českém</w:t>
            </w:r>
            <w:r w:rsidR="00694229">
              <w:t xml:space="preserve"> nebo v anglickém</w:t>
            </w:r>
            <w:r w:rsidRPr="002F40C1">
              <w:t xml:space="preserve"> jazyce</w:t>
            </w:r>
          </w:p>
          <w:p w14:paraId="5A6A2A8B" w14:textId="44287083" w:rsidR="00CF7533" w:rsidRPr="002F40C1" w:rsidRDefault="00CF7533" w:rsidP="00E13EB0">
            <w:pPr>
              <w:numPr>
                <w:ilvl w:val="1"/>
                <w:numId w:val="1"/>
              </w:numPr>
              <w:spacing w:after="0" w:line="240" w:lineRule="auto"/>
              <w:jc w:val="left"/>
              <w:rPr>
                <w:i/>
                <w:lang w:eastAsia="cs-CZ"/>
              </w:rPr>
            </w:pPr>
            <w:r w:rsidRPr="002F40C1">
              <w:t>software pro tvorbu automatizovaných postupů (měření, vyhodnocování, tvorba protokolů, export do MS-Wordu</w:t>
            </w:r>
            <w:r w:rsidR="00E23779">
              <w:t xml:space="preserve"> (</w:t>
            </w:r>
            <w:r w:rsidR="00E23779" w:rsidRPr="00752542">
              <w:rPr>
                <w:bCs/>
              </w:rPr>
              <w:t xml:space="preserve">zadavatel umožňuje </w:t>
            </w:r>
            <w:r w:rsidR="00E23779" w:rsidRPr="00752542">
              <w:rPr>
                <w:rFonts w:cstheme="minorHAnsi"/>
              </w:rPr>
              <w:t>možnost nabídnout rovnocenné řešení</w:t>
            </w:r>
            <w:r w:rsidR="00E23779">
              <w:rPr>
                <w:rFonts w:cstheme="minorHAnsi"/>
              </w:rPr>
              <w:t xml:space="preserve"> ve smyslu § 89 odst. 6 </w:t>
            </w:r>
            <w:r w:rsidR="00E23779" w:rsidRPr="00752542">
              <w:rPr>
                <w:rFonts w:cstheme="minorHAnsi"/>
              </w:rPr>
              <w:t>ZZVZ</w:t>
            </w:r>
            <w:r w:rsidR="00E23779">
              <w:rPr>
                <w:rFonts w:cstheme="minorHAnsi"/>
              </w:rPr>
              <w:t>)</w:t>
            </w:r>
            <w:r w:rsidRPr="002F40C1">
              <w:t>, MS-Excelu</w:t>
            </w:r>
            <w:r w:rsidR="00E23779">
              <w:t xml:space="preserve"> (</w:t>
            </w:r>
            <w:r w:rsidR="00E23779" w:rsidRPr="00752542">
              <w:rPr>
                <w:bCs/>
              </w:rPr>
              <w:t xml:space="preserve">zadavatel umožňuje </w:t>
            </w:r>
            <w:r w:rsidR="00E23779" w:rsidRPr="00752542">
              <w:rPr>
                <w:rFonts w:cstheme="minorHAnsi"/>
              </w:rPr>
              <w:t>možnost nabídnout rovnocenné řešení</w:t>
            </w:r>
            <w:r w:rsidR="00E23779">
              <w:rPr>
                <w:rFonts w:cstheme="minorHAnsi"/>
              </w:rPr>
              <w:t xml:space="preserve"> ve smyslu § 89 odst. 6 </w:t>
            </w:r>
            <w:r w:rsidR="00E23779" w:rsidRPr="00752542">
              <w:rPr>
                <w:rFonts w:cstheme="minorHAnsi"/>
              </w:rPr>
              <w:t>ZZVZ</w:t>
            </w:r>
            <w:r w:rsidR="00E23779">
              <w:rPr>
                <w:rFonts w:cstheme="minorHAnsi"/>
              </w:rPr>
              <w:t>)</w:t>
            </w:r>
            <w:r w:rsidRPr="002F40C1">
              <w:t xml:space="preserve"> apod.)</w:t>
            </w:r>
          </w:p>
          <w:p w14:paraId="24C5FE67" w14:textId="2C99AA10" w:rsidR="00CF7533" w:rsidRPr="002F40C1" w:rsidRDefault="00CF7533" w:rsidP="00E13EB0">
            <w:pPr>
              <w:numPr>
                <w:ilvl w:val="1"/>
                <w:numId w:val="1"/>
              </w:numPr>
              <w:spacing w:after="0" w:line="240" w:lineRule="auto"/>
              <w:jc w:val="left"/>
              <w:rPr>
                <w:i/>
                <w:lang w:eastAsia="cs-CZ"/>
              </w:rPr>
            </w:pPr>
            <w:r w:rsidRPr="002F40C1">
              <w:t xml:space="preserve">specializovaný program na správu všech spektrálních souborů na PC, tvorba virtuálních knihoven z vašich spektrálních dat, procesní trasa (jakákoliv úprava spekter je vždy vratná), atd. Identifikace čistých látek a směsí (identifikace vícesložkových směsí) – multikomponentní vyhledávání v knihovnách umožňující analýzu směsí v jednom kroku bez </w:t>
            </w:r>
            <w:r w:rsidR="00B33BFC" w:rsidRPr="002F40C1">
              <w:t xml:space="preserve">dalšího </w:t>
            </w:r>
            <w:r w:rsidRPr="002F40C1">
              <w:t>zásahu obsluhy – maximálně 4 složky, multikomponentní vyhledávání minoritních látek ve směsných vzorcích umožňující předem ručně definovat majoritní složku tzv. kontaminant search – maximálně 4 složky. Využívání identických souborů (knihoven spekter) pro základní spektroskopický i specializovaný program s funkcemi uvedenými výše</w:t>
            </w:r>
          </w:p>
          <w:p w14:paraId="302B62E5" w14:textId="77777777" w:rsidR="00CF7533" w:rsidRPr="002F40C1" w:rsidRDefault="00CF7533" w:rsidP="00E13EB0">
            <w:pPr>
              <w:numPr>
                <w:ilvl w:val="1"/>
                <w:numId w:val="1"/>
              </w:numPr>
              <w:spacing w:after="0" w:line="240" w:lineRule="auto"/>
              <w:jc w:val="left"/>
              <w:rPr>
                <w:i/>
                <w:lang w:eastAsia="cs-CZ"/>
              </w:rPr>
            </w:pPr>
            <w:r w:rsidRPr="002F40C1">
              <w:t>Cloudového úložiště pro naměřená data o velikosti 10 GB, úložiště umožňuje sdílení, prohlížení a úpravu měřících dat i z platforem jako jsou smartphony a tablety, uložená data musí být zabezpečena proti jejich zneužití pomocí certifikovaného poskytovatele cloudových služeb AWS</w:t>
            </w:r>
          </w:p>
          <w:p w14:paraId="3937D850" w14:textId="25F9BA30" w:rsidR="00CF7533" w:rsidRPr="00476D05" w:rsidRDefault="00CF7533" w:rsidP="00E13EB0">
            <w:pPr>
              <w:numPr>
                <w:ilvl w:val="1"/>
                <w:numId w:val="1"/>
              </w:numPr>
              <w:spacing w:after="0" w:line="240" w:lineRule="auto"/>
              <w:jc w:val="left"/>
              <w:rPr>
                <w:i/>
                <w:lang w:eastAsia="cs-CZ"/>
              </w:rPr>
            </w:pPr>
            <w:r w:rsidRPr="002F40C1">
              <w:t>program pro časově rozlišenou spektrometrie</w:t>
            </w:r>
            <w:r w:rsidRPr="00476D05">
              <w:t>, měření a hro</w:t>
            </w:r>
            <w:r w:rsidR="00D20112" w:rsidRPr="00476D05">
              <w:t>m</w:t>
            </w:r>
            <w:r w:rsidRPr="00476D05">
              <w:t>adné vyhodnocování</w:t>
            </w:r>
            <w:r w:rsidR="00D20112" w:rsidRPr="00476D05">
              <w:t xml:space="preserve"> sérií spekter, 2D a 3D zobrazení, časové profily intenzit a poměrů intenzit spektrálních pásů</w:t>
            </w:r>
          </w:p>
          <w:p w14:paraId="6375930B" w14:textId="30970302" w:rsidR="00E13EB0" w:rsidRPr="00476D05" w:rsidRDefault="00E13EB0" w:rsidP="00E13EB0">
            <w:pPr>
              <w:numPr>
                <w:ilvl w:val="1"/>
                <w:numId w:val="1"/>
              </w:numPr>
              <w:spacing w:after="0" w:line="240" w:lineRule="auto"/>
              <w:jc w:val="left"/>
              <w:rPr>
                <w:i/>
                <w:lang w:eastAsia="cs-CZ"/>
              </w:rPr>
            </w:pPr>
            <w:r w:rsidRPr="00476D05">
              <w:t>program na interpretaci spekter</w:t>
            </w:r>
          </w:p>
          <w:p w14:paraId="4806D137" w14:textId="566CBC00" w:rsidR="00CF7533" w:rsidRPr="00476D05" w:rsidRDefault="00CF7533" w:rsidP="00E13EB0">
            <w:pPr>
              <w:pStyle w:val="cena"/>
              <w:numPr>
                <w:ilvl w:val="0"/>
                <w:numId w:val="1"/>
              </w:numPr>
              <w:tabs>
                <w:tab w:val="clear" w:pos="8190"/>
              </w:tabs>
              <w:spacing w:before="60" w:after="60" w:line="240" w:lineRule="auto"/>
              <w:ind w:right="0"/>
              <w:jc w:val="left"/>
              <w:rPr>
                <w:rFonts w:asciiTheme="minorHAnsi" w:hAnsiTheme="minorHAnsi"/>
                <w:b w:val="0"/>
                <w:szCs w:val="22"/>
              </w:rPr>
            </w:pPr>
            <w:r w:rsidRPr="00476D05">
              <w:rPr>
                <w:rFonts w:asciiTheme="minorHAnsi" w:hAnsiTheme="minorHAnsi"/>
                <w:b w:val="0"/>
                <w:szCs w:val="22"/>
              </w:rPr>
              <w:t>Řídící počítač s minimálními parametry:</w:t>
            </w:r>
          </w:p>
          <w:p w14:paraId="4894FDED" w14:textId="155FDA07" w:rsidR="00CF7533" w:rsidRPr="00476D05" w:rsidRDefault="00CF7533" w:rsidP="00E13EB0">
            <w:pPr>
              <w:numPr>
                <w:ilvl w:val="1"/>
                <w:numId w:val="1"/>
              </w:numPr>
              <w:spacing w:after="0" w:line="240" w:lineRule="auto"/>
              <w:jc w:val="left"/>
            </w:pPr>
            <w:r w:rsidRPr="00476D05">
              <w:t xml:space="preserve">procesor </w:t>
            </w:r>
            <w:r w:rsidR="00D92AAB" w:rsidRPr="00476D05">
              <w:t>(minimální parametry: typ podporovaný paměti: DDR4/DDR5, počet jader: 10, frekvence procesoru: 4,9 GHz)</w:t>
            </w:r>
          </w:p>
          <w:p w14:paraId="16DE49DD" w14:textId="77777777" w:rsidR="00CF7533" w:rsidRPr="00476D05" w:rsidRDefault="00CF7533" w:rsidP="00E13EB0">
            <w:pPr>
              <w:numPr>
                <w:ilvl w:val="1"/>
                <w:numId w:val="1"/>
              </w:numPr>
              <w:spacing w:after="0" w:line="240" w:lineRule="auto"/>
              <w:jc w:val="left"/>
            </w:pPr>
            <w:r w:rsidRPr="00476D05">
              <w:t>8 GB RAM</w:t>
            </w:r>
          </w:p>
          <w:p w14:paraId="68C451D0" w14:textId="77777777" w:rsidR="00CF7533" w:rsidRPr="00476D05" w:rsidRDefault="00CF7533" w:rsidP="00E13EB0">
            <w:pPr>
              <w:numPr>
                <w:ilvl w:val="1"/>
                <w:numId w:val="1"/>
              </w:numPr>
              <w:spacing w:after="0" w:line="240" w:lineRule="auto"/>
              <w:jc w:val="left"/>
            </w:pPr>
            <w:r w:rsidRPr="00476D05">
              <w:t>1 TB pevný disk</w:t>
            </w:r>
          </w:p>
          <w:p w14:paraId="4E83910C" w14:textId="77777777" w:rsidR="00CF7533" w:rsidRPr="00476D05" w:rsidRDefault="00CF7533" w:rsidP="00E13EB0">
            <w:pPr>
              <w:numPr>
                <w:ilvl w:val="1"/>
                <w:numId w:val="1"/>
              </w:numPr>
              <w:spacing w:after="0" w:line="240" w:lineRule="auto"/>
              <w:jc w:val="left"/>
            </w:pPr>
            <w:r w:rsidRPr="00476D05">
              <w:t>DVD-RW mechanika</w:t>
            </w:r>
          </w:p>
          <w:p w14:paraId="28605633" w14:textId="77777777" w:rsidR="00CF7533" w:rsidRPr="00476D05" w:rsidRDefault="00CF7533" w:rsidP="00E13EB0">
            <w:pPr>
              <w:numPr>
                <w:ilvl w:val="1"/>
                <w:numId w:val="1"/>
              </w:numPr>
              <w:spacing w:after="0" w:line="240" w:lineRule="auto"/>
              <w:jc w:val="left"/>
            </w:pPr>
            <w:r w:rsidRPr="00476D05">
              <w:t>standardní síťová, grafická a zvuková karta na základní desce, reproduktory</w:t>
            </w:r>
          </w:p>
          <w:p w14:paraId="12D79807" w14:textId="2958F3C5" w:rsidR="00CF7533" w:rsidRPr="00476D05" w:rsidRDefault="00CF7533" w:rsidP="00E13EB0">
            <w:pPr>
              <w:numPr>
                <w:ilvl w:val="1"/>
                <w:numId w:val="1"/>
              </w:numPr>
              <w:spacing w:after="0" w:line="240" w:lineRule="auto"/>
              <w:jc w:val="left"/>
            </w:pPr>
            <w:r w:rsidRPr="00476D05">
              <w:t>Microsoft Windows 10</w:t>
            </w:r>
            <w:r w:rsidR="00694229" w:rsidRPr="00476D05">
              <w:t xml:space="preserve"> (</w:t>
            </w:r>
            <w:r w:rsidR="00694229" w:rsidRPr="00476D05">
              <w:rPr>
                <w:bCs/>
              </w:rPr>
              <w:t xml:space="preserve">zadavatel umožňuje </w:t>
            </w:r>
            <w:r w:rsidR="00694229" w:rsidRPr="00476D05">
              <w:rPr>
                <w:rFonts w:cstheme="minorHAnsi"/>
              </w:rPr>
              <w:t>možnost nabídnout rovnocenné řešení ve smyslu § 89 odst. 6 ZZVZ)</w:t>
            </w:r>
            <w:r w:rsidRPr="00476D05">
              <w:t>, 64bit, CZ</w:t>
            </w:r>
          </w:p>
          <w:p w14:paraId="2619445A" w14:textId="77777777" w:rsidR="00476D05" w:rsidRDefault="00CF7533" w:rsidP="00476D05">
            <w:pPr>
              <w:numPr>
                <w:ilvl w:val="1"/>
                <w:numId w:val="1"/>
              </w:numPr>
              <w:spacing w:after="0" w:line="240" w:lineRule="auto"/>
              <w:jc w:val="left"/>
            </w:pPr>
            <w:r w:rsidRPr="00476D05">
              <w:t>klávesnice, optická myš, kabely</w:t>
            </w:r>
          </w:p>
          <w:p w14:paraId="4738CCFC" w14:textId="47A87EE7" w:rsidR="00E13EB0" w:rsidRPr="00476D05" w:rsidRDefault="00CF7533" w:rsidP="00476D05">
            <w:pPr>
              <w:numPr>
                <w:ilvl w:val="1"/>
                <w:numId w:val="1"/>
              </w:numPr>
              <w:spacing w:after="0" w:line="240" w:lineRule="auto"/>
              <w:jc w:val="left"/>
            </w:pPr>
            <w:r w:rsidRPr="00476D05">
              <w:t>LCD monitor 23 palců, 16:9</w:t>
            </w:r>
          </w:p>
        </w:tc>
      </w:tr>
      <w:bookmarkEnd w:id="0"/>
    </w:tbl>
    <w:p w14:paraId="5AF75106" w14:textId="1CB1FEFA" w:rsidR="004456A6" w:rsidRPr="002F40C1" w:rsidRDefault="004456A6" w:rsidP="00B73DCF"/>
    <w:sectPr w:rsidR="004456A6" w:rsidRPr="002F40C1">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AD52A7" w16cex:dateUtc="2024-04-18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512ED" w16cid:durableId="48AD5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C92E" w14:textId="77777777" w:rsidR="00DD127D" w:rsidRDefault="00DD127D" w:rsidP="00DD127D">
      <w:pPr>
        <w:spacing w:after="0" w:line="240" w:lineRule="auto"/>
      </w:pPr>
      <w:r>
        <w:separator/>
      </w:r>
    </w:p>
  </w:endnote>
  <w:endnote w:type="continuationSeparator" w:id="0">
    <w:p w14:paraId="5D046AC6" w14:textId="77777777" w:rsidR="00DD127D" w:rsidRDefault="00DD127D" w:rsidP="00DD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sdt>
        <w:sdtPr>
          <w:id w:val="1181008958"/>
          <w:docPartObj>
            <w:docPartGallery w:val="Page Numbers (Top of Page)"/>
            <w:docPartUnique/>
          </w:docPartObj>
        </w:sdtPr>
        <w:sdtEndPr/>
        <w:sdtContent>
          <w:p w14:paraId="523191A5" w14:textId="77777777" w:rsidR="00DD127D" w:rsidRPr="00981F9E" w:rsidRDefault="00DD127D" w:rsidP="00DD127D">
            <w:pPr>
              <w:pStyle w:val="Footer"/>
              <w:jc w:val="right"/>
              <w:rPr>
                <w:sz w:val="24"/>
                <w:szCs w:val="24"/>
              </w:rPr>
            </w:pPr>
          </w:p>
          <w:p w14:paraId="52AD4CD8" w14:textId="77777777" w:rsidR="00DD127D" w:rsidRDefault="00DD127D" w:rsidP="00DD127D">
            <w:pPr>
              <w:pStyle w:val="Footer"/>
              <w:rPr>
                <w:rFonts w:ascii="Garamond" w:hAnsi="Garamond" w:cs="Garamond"/>
                <w:sz w:val="24"/>
                <w:szCs w:val="24"/>
              </w:rPr>
            </w:pPr>
          </w:p>
          <w:p w14:paraId="5D69D581" w14:textId="77777777" w:rsidR="00DD127D" w:rsidRPr="000B6B53" w:rsidRDefault="00DD127D" w:rsidP="00DD127D">
            <w:pPr>
              <w:pStyle w:val="Footer"/>
              <w:rPr>
                <w:rFonts w:ascii="Garamond" w:hAnsi="Garamond" w:cs="Garamond"/>
                <w:sz w:val="24"/>
                <w:szCs w:val="24"/>
              </w:rPr>
            </w:pPr>
            <w:r>
              <w:rPr>
                <w:rFonts w:ascii="Garamond" w:hAnsi="Garamond" w:cs="Garamond"/>
                <w:noProof/>
                <w:sz w:val="24"/>
                <w:szCs w:val="24"/>
                <w:lang w:eastAsia="cs-CZ"/>
              </w:rPr>
              <w:drawing>
                <wp:inline distT="0" distB="0" distL="0" distR="0" wp14:anchorId="39FFF695" wp14:editId="2BA38779">
                  <wp:extent cx="2524125" cy="359410"/>
                  <wp:effectExtent l="0" t="0" r="9525" b="2540"/>
                  <wp:docPr id="208182666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59410"/>
                          </a:xfrm>
                          <a:prstGeom prst="rect">
                            <a:avLst/>
                          </a:prstGeom>
                          <a:noFill/>
                        </pic:spPr>
                      </pic:pic>
                    </a:graphicData>
                  </a:graphic>
                </wp:inline>
              </w:drawing>
            </w:r>
            <w:r>
              <w:rPr>
                <w:noProof/>
                <w:lang w:eastAsia="cs-CZ"/>
              </w:rPr>
              <mc:AlternateContent>
                <mc:Choice Requires="wps">
                  <w:drawing>
                    <wp:anchor distT="45720" distB="45720" distL="114300" distR="0" simplePos="0" relativeHeight="251659264" behindDoc="0" locked="1" layoutInCell="1" allowOverlap="0" wp14:anchorId="3B910287" wp14:editId="451AB927">
                      <wp:simplePos x="0" y="0"/>
                      <wp:positionH relativeFrom="margin">
                        <wp:posOffset>4713605</wp:posOffset>
                      </wp:positionH>
                      <wp:positionV relativeFrom="bottomMargin">
                        <wp:posOffset>79375</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BC72775" w14:textId="77777777" w:rsidR="00DD127D" w:rsidRPr="00831EAC" w:rsidRDefault="00DD127D" w:rsidP="00DD127D">
                                  <w:pPr>
                                    <w:pStyle w:val="Webovstrnkyvzpat"/>
                                  </w:pPr>
                                  <w:bookmarkStart w:id="1" w:name="_Hlk98419294"/>
                                  <w:r w:rsidRPr="00D65C9F">
                                    <w:t>OPJAK</w:t>
                                  </w:r>
                                  <w:r w:rsidRPr="00831EAC">
                                    <w:t>.cz</w:t>
                                  </w:r>
                                </w:p>
                                <w:p w14:paraId="42417B10" w14:textId="77777777" w:rsidR="00DD127D" w:rsidRPr="006F1B93" w:rsidRDefault="00DD127D" w:rsidP="00DD127D">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10287" id="_x0000_t202" coordsize="21600,21600" o:spt="202" path="m,l,21600r21600,l21600,xe">
                      <v:stroke joinstyle="miter"/>
                      <v:path gradientshapeok="t" o:connecttype="rect"/>
                    </v:shapetype>
                    <v:shape id="Textové pole 5" o:spid="_x0000_s1026" type="#_x0000_t202" style="position:absolute;left:0;text-align:left;margin-left:371.15pt;margin-top:6.25pt;width:87.85pt;height:45.35pt;z-index:251659264;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" o:allowoverlap="f" filled="f" stroked="f">
                      <v:textbox>
                        <w:txbxContent>
                          <w:p w14:paraId="1BC72775" w14:textId="77777777" w:rsidR="00DD127D" w:rsidRPr="00831EAC" w:rsidRDefault="00DD127D" w:rsidP="00DD127D">
                            <w:pPr>
                              <w:pStyle w:val="Webovstrnkyvzpat"/>
                            </w:pPr>
                            <w:bookmarkStart w:id="2" w:name="_Hlk98419294"/>
                            <w:r w:rsidRPr="00D65C9F">
                              <w:t>OPJAK</w:t>
                            </w:r>
                            <w:r w:rsidRPr="00831EAC">
                              <w:t>.cz</w:t>
                            </w:r>
                          </w:p>
                          <w:p w14:paraId="42417B10" w14:textId="77777777" w:rsidR="00DD127D" w:rsidRPr="006F1B93" w:rsidRDefault="00DD127D" w:rsidP="00DD127D">
                            <w:pPr>
                              <w:pStyle w:val="Webovstrnkyvzpat"/>
                              <w:rPr>
                                <w:sz w:val="26"/>
                                <w:szCs w:val="26"/>
                              </w:rPr>
                            </w:pPr>
                            <w:r w:rsidRPr="00831EAC">
                              <w:t>MSMT.cz</w:t>
                            </w:r>
                            <w:bookmarkEnd w:id="2"/>
                          </w:p>
                        </w:txbxContent>
                      </v:textbox>
                      <w10:wrap type="square" anchorx="margin" anchory="margin"/>
                      <w10:anchorlock/>
                    </v:shape>
                  </w:pict>
                </mc:Fallback>
              </mc:AlternateContent>
            </w:r>
          </w:p>
          <w:p w14:paraId="4030AA4D" w14:textId="77777777" w:rsidR="00DD127D" w:rsidRDefault="00DD127D" w:rsidP="00DD127D">
            <w:pPr>
              <w:pStyle w:val="Footer"/>
            </w:pPr>
          </w:p>
          <w:p w14:paraId="26023027" w14:textId="77777777" w:rsidR="00DD127D" w:rsidRPr="00981F9E" w:rsidRDefault="00DD127D" w:rsidP="00DD127D">
            <w:pPr>
              <w:pStyle w:val="Footer"/>
              <w:jc w:val="right"/>
            </w:pPr>
            <w:r w:rsidRPr="00981F9E">
              <w:rPr>
                <w:sz w:val="24"/>
                <w:szCs w:val="24"/>
              </w:rPr>
              <w:t xml:space="preserve">Stránka </w:t>
            </w:r>
            <w:r w:rsidRPr="00981F9E">
              <w:rPr>
                <w:sz w:val="24"/>
                <w:szCs w:val="24"/>
              </w:rPr>
              <w:fldChar w:fldCharType="begin"/>
            </w:r>
            <w:r w:rsidRPr="00981F9E">
              <w:rPr>
                <w:sz w:val="24"/>
                <w:szCs w:val="24"/>
              </w:rPr>
              <w:instrText>PAGE</w:instrText>
            </w:r>
            <w:r w:rsidRPr="00981F9E">
              <w:rPr>
                <w:sz w:val="24"/>
                <w:szCs w:val="24"/>
              </w:rPr>
              <w:fldChar w:fldCharType="separate"/>
            </w:r>
            <w:r w:rsidR="00E65479">
              <w:rPr>
                <w:noProof/>
                <w:sz w:val="24"/>
                <w:szCs w:val="24"/>
              </w:rPr>
              <w:t>6</w:t>
            </w:r>
            <w:r w:rsidRPr="00981F9E">
              <w:rPr>
                <w:sz w:val="24"/>
                <w:szCs w:val="24"/>
              </w:rPr>
              <w:fldChar w:fldCharType="end"/>
            </w:r>
            <w:r w:rsidRPr="00981F9E">
              <w:rPr>
                <w:sz w:val="24"/>
                <w:szCs w:val="24"/>
              </w:rPr>
              <w:t xml:space="preserve"> </w:t>
            </w:r>
            <w:r w:rsidRPr="00981F9E">
              <w:rPr>
                <w:sz w:val="24"/>
                <w:szCs w:val="24"/>
              </w:rPr>
              <w:t xml:space="preserve">z </w:t>
            </w:r>
            <w:r w:rsidRPr="00981F9E">
              <w:rPr>
                <w:sz w:val="24"/>
                <w:szCs w:val="24"/>
              </w:rPr>
              <w:fldChar w:fldCharType="begin"/>
            </w:r>
            <w:r w:rsidRPr="00981F9E">
              <w:rPr>
                <w:sz w:val="24"/>
                <w:szCs w:val="24"/>
              </w:rPr>
              <w:instrText>NUMPAGES</w:instrText>
            </w:r>
            <w:r w:rsidRPr="00981F9E">
              <w:rPr>
                <w:sz w:val="24"/>
                <w:szCs w:val="24"/>
              </w:rPr>
              <w:fldChar w:fldCharType="separate"/>
            </w:r>
            <w:r w:rsidR="00E65479">
              <w:rPr>
                <w:noProof/>
                <w:sz w:val="24"/>
                <w:szCs w:val="24"/>
              </w:rPr>
              <w:t>6</w:t>
            </w:r>
            <w:r w:rsidRPr="00981F9E">
              <w:rPr>
                <w:sz w:val="24"/>
                <w:szCs w:val="24"/>
              </w:rPr>
              <w:fldChar w:fldCharType="end"/>
            </w:r>
          </w:p>
        </w:sdtContent>
      </w:sdt>
      <w:p w14:paraId="3CFE1C63" w14:textId="77777777" w:rsidR="00DD127D" w:rsidRPr="008B1262" w:rsidRDefault="00DD127D" w:rsidP="00DD127D">
        <w:pPr>
          <w:pStyle w:val="Footer"/>
          <w:jc w:val="right"/>
        </w:pPr>
        <w:r>
          <w:t xml:space="preserve"> </w:t>
        </w:r>
      </w:p>
      <w:p w14:paraId="7B93E218" w14:textId="77777777" w:rsidR="00DD127D" w:rsidRDefault="00E65479" w:rsidP="00DD127D">
        <w:pPr>
          <w:pStyle w:val="Footer"/>
          <w:jc w:val="center"/>
        </w:pPr>
      </w:p>
    </w:sdtContent>
  </w:sdt>
  <w:p w14:paraId="7355B4A4" w14:textId="77777777" w:rsidR="00DD127D" w:rsidRDefault="00DD127D" w:rsidP="00DD127D">
    <w:pPr>
      <w:pStyle w:val="Footer"/>
    </w:pPr>
  </w:p>
  <w:p w14:paraId="0B470E4B" w14:textId="77777777" w:rsidR="00DD127D" w:rsidRDefault="00DD1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540D7" w14:textId="77777777" w:rsidR="00DD127D" w:rsidRDefault="00DD127D" w:rsidP="00DD127D">
      <w:pPr>
        <w:spacing w:after="0" w:line="240" w:lineRule="auto"/>
      </w:pPr>
      <w:r>
        <w:separator/>
      </w:r>
    </w:p>
  </w:footnote>
  <w:footnote w:type="continuationSeparator" w:id="0">
    <w:p w14:paraId="3E5EB314" w14:textId="77777777" w:rsidR="00DD127D" w:rsidRDefault="00DD127D" w:rsidP="00DD1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E11E" w14:textId="68A6BB53" w:rsidR="00DD127D" w:rsidRDefault="00DD127D" w:rsidP="00DD127D">
    <w:pPr>
      <w:pStyle w:val="Header"/>
    </w:pPr>
    <w:r w:rsidRPr="00DD127D">
      <w:t>Příloha č. 4_Technická specifikace veřejné zakázky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603"/>
    <w:multiLevelType w:val="singleLevel"/>
    <w:tmpl w:val="7690DA9C"/>
    <w:lvl w:ilvl="0">
      <w:numFmt w:val="bullet"/>
      <w:lvlText w:val="-"/>
      <w:lvlJc w:val="left"/>
      <w:pPr>
        <w:tabs>
          <w:tab w:val="num" w:pos="360"/>
        </w:tabs>
        <w:ind w:left="360" w:hanging="360"/>
      </w:pPr>
      <w:rPr>
        <w:rFonts w:hint="default"/>
      </w:rPr>
    </w:lvl>
  </w:abstractNum>
  <w:abstractNum w:abstractNumId="1" w15:restartNumberingAfterBreak="0">
    <w:nsid w:val="49977053"/>
    <w:multiLevelType w:val="hybridMultilevel"/>
    <w:tmpl w:val="E82EF0AE"/>
    <w:lvl w:ilvl="0" w:tplc="1F7C5060">
      <w:start w:val="1"/>
      <w:numFmt w:val="bullet"/>
      <w:lvlText w:val="-"/>
      <w:lvlJc w:val="left"/>
      <w:pPr>
        <w:tabs>
          <w:tab w:val="num" w:pos="720"/>
        </w:tabs>
        <w:ind w:left="720" w:hanging="360"/>
      </w:pPr>
      <w:rPr>
        <w:rFonts w:ascii="Times New Roman" w:eastAsia="Times New Roman" w:hAnsi="Times New Roman" w:cs="Times New Roman" w:hint="default"/>
      </w:rPr>
    </w:lvl>
    <w:lvl w:ilvl="1" w:tplc="DF4E2CD2">
      <w:start w:val="1"/>
      <w:numFmt w:val="bullet"/>
      <w:lvlText w:val="o"/>
      <w:lvlJc w:val="left"/>
      <w:pPr>
        <w:tabs>
          <w:tab w:val="num" w:pos="1440"/>
        </w:tabs>
        <w:ind w:left="1440" w:hanging="360"/>
      </w:pPr>
      <w:rPr>
        <w:rFonts w:ascii="Courier New" w:hAnsi="Courier New" w:cs="Courier New" w:hint="default"/>
      </w:rPr>
    </w:lvl>
    <w:lvl w:ilvl="2" w:tplc="EF789294" w:tentative="1">
      <w:start w:val="1"/>
      <w:numFmt w:val="bullet"/>
      <w:lvlText w:val=""/>
      <w:lvlJc w:val="left"/>
      <w:pPr>
        <w:tabs>
          <w:tab w:val="num" w:pos="2160"/>
        </w:tabs>
        <w:ind w:left="2160" w:hanging="360"/>
      </w:pPr>
      <w:rPr>
        <w:rFonts w:ascii="Wingdings" w:hAnsi="Wingdings" w:hint="default"/>
      </w:rPr>
    </w:lvl>
    <w:lvl w:ilvl="3" w:tplc="C7A81AE2" w:tentative="1">
      <w:start w:val="1"/>
      <w:numFmt w:val="bullet"/>
      <w:lvlText w:val=""/>
      <w:lvlJc w:val="left"/>
      <w:pPr>
        <w:tabs>
          <w:tab w:val="num" w:pos="2880"/>
        </w:tabs>
        <w:ind w:left="2880" w:hanging="360"/>
      </w:pPr>
      <w:rPr>
        <w:rFonts w:ascii="Symbol" w:hAnsi="Symbol" w:hint="default"/>
      </w:rPr>
    </w:lvl>
    <w:lvl w:ilvl="4" w:tplc="C3BEF916" w:tentative="1">
      <w:start w:val="1"/>
      <w:numFmt w:val="bullet"/>
      <w:lvlText w:val="o"/>
      <w:lvlJc w:val="left"/>
      <w:pPr>
        <w:tabs>
          <w:tab w:val="num" w:pos="3600"/>
        </w:tabs>
        <w:ind w:left="3600" w:hanging="360"/>
      </w:pPr>
      <w:rPr>
        <w:rFonts w:ascii="Courier New" w:hAnsi="Courier New" w:cs="Courier New" w:hint="default"/>
      </w:rPr>
    </w:lvl>
    <w:lvl w:ilvl="5" w:tplc="72BAB442" w:tentative="1">
      <w:start w:val="1"/>
      <w:numFmt w:val="bullet"/>
      <w:lvlText w:val=""/>
      <w:lvlJc w:val="left"/>
      <w:pPr>
        <w:tabs>
          <w:tab w:val="num" w:pos="4320"/>
        </w:tabs>
        <w:ind w:left="4320" w:hanging="360"/>
      </w:pPr>
      <w:rPr>
        <w:rFonts w:ascii="Wingdings" w:hAnsi="Wingdings" w:hint="default"/>
      </w:rPr>
    </w:lvl>
    <w:lvl w:ilvl="6" w:tplc="F54E6E2A" w:tentative="1">
      <w:start w:val="1"/>
      <w:numFmt w:val="bullet"/>
      <w:lvlText w:val=""/>
      <w:lvlJc w:val="left"/>
      <w:pPr>
        <w:tabs>
          <w:tab w:val="num" w:pos="5040"/>
        </w:tabs>
        <w:ind w:left="5040" w:hanging="360"/>
      </w:pPr>
      <w:rPr>
        <w:rFonts w:ascii="Symbol" w:hAnsi="Symbol" w:hint="default"/>
      </w:rPr>
    </w:lvl>
    <w:lvl w:ilvl="7" w:tplc="DA8270C0" w:tentative="1">
      <w:start w:val="1"/>
      <w:numFmt w:val="bullet"/>
      <w:lvlText w:val="o"/>
      <w:lvlJc w:val="left"/>
      <w:pPr>
        <w:tabs>
          <w:tab w:val="num" w:pos="5760"/>
        </w:tabs>
        <w:ind w:left="5760" w:hanging="360"/>
      </w:pPr>
      <w:rPr>
        <w:rFonts w:ascii="Courier New" w:hAnsi="Courier New" w:cs="Courier New" w:hint="default"/>
      </w:rPr>
    </w:lvl>
    <w:lvl w:ilvl="8" w:tplc="D7F430A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A6"/>
    <w:rsid w:val="00057EBA"/>
    <w:rsid w:val="000871F4"/>
    <w:rsid w:val="0012062E"/>
    <w:rsid w:val="001C5446"/>
    <w:rsid w:val="002E6E10"/>
    <w:rsid w:val="002F40C1"/>
    <w:rsid w:val="004456A6"/>
    <w:rsid w:val="00476D05"/>
    <w:rsid w:val="005136BA"/>
    <w:rsid w:val="005149B0"/>
    <w:rsid w:val="00694229"/>
    <w:rsid w:val="006963D9"/>
    <w:rsid w:val="006F2B35"/>
    <w:rsid w:val="007C7EB6"/>
    <w:rsid w:val="008A4C53"/>
    <w:rsid w:val="00921A85"/>
    <w:rsid w:val="0093533C"/>
    <w:rsid w:val="009421BF"/>
    <w:rsid w:val="009D6C76"/>
    <w:rsid w:val="00AB72FD"/>
    <w:rsid w:val="00B03CAB"/>
    <w:rsid w:val="00B21798"/>
    <w:rsid w:val="00B33BFC"/>
    <w:rsid w:val="00B62094"/>
    <w:rsid w:val="00B73DCF"/>
    <w:rsid w:val="00BE2773"/>
    <w:rsid w:val="00C1546D"/>
    <w:rsid w:val="00CF7533"/>
    <w:rsid w:val="00D20112"/>
    <w:rsid w:val="00D56B73"/>
    <w:rsid w:val="00D92AAB"/>
    <w:rsid w:val="00DA290C"/>
    <w:rsid w:val="00DD127D"/>
    <w:rsid w:val="00DD53F4"/>
    <w:rsid w:val="00E13EB0"/>
    <w:rsid w:val="00E23779"/>
    <w:rsid w:val="00E65479"/>
    <w:rsid w:val="00EE1121"/>
    <w:rsid w:val="00EF16F8"/>
    <w:rsid w:val="00F119AD"/>
    <w:rsid w:val="00F87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4096"/>
  <w15:docId w15:val="{768D75DF-5727-2545-A8DC-4C6A336E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05"/>
    <w:pPr>
      <w:spacing w:after="160" w:line="259" w:lineRule="auto"/>
      <w:jc w:val="both"/>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A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a">
    <w:name w:val="cena"/>
    <w:basedOn w:val="Normal"/>
    <w:uiPriority w:val="99"/>
    <w:rsid w:val="00C1546D"/>
    <w:pPr>
      <w:tabs>
        <w:tab w:val="right" w:pos="8190"/>
      </w:tabs>
      <w:spacing w:before="120" w:after="0" w:line="360" w:lineRule="atLeast"/>
      <w:ind w:right="-511" w:firstLine="450"/>
    </w:pPr>
    <w:rPr>
      <w:rFonts w:ascii="Times New Roman" w:eastAsia="Times New Roman" w:hAnsi="Times New Roman" w:cs="Times New Roman"/>
      <w:b/>
      <w:szCs w:val="20"/>
    </w:rPr>
  </w:style>
  <w:style w:type="paragraph" w:styleId="ListParagraph">
    <w:name w:val="List Paragraph"/>
    <w:basedOn w:val="Normal"/>
    <w:uiPriority w:val="34"/>
    <w:qFormat/>
    <w:rsid w:val="00F87705"/>
    <w:pPr>
      <w:ind w:left="720"/>
      <w:contextualSpacing/>
    </w:pPr>
  </w:style>
  <w:style w:type="character" w:styleId="CommentReference">
    <w:name w:val="annotation reference"/>
    <w:basedOn w:val="DefaultParagraphFont"/>
    <w:uiPriority w:val="99"/>
    <w:semiHidden/>
    <w:unhideWhenUsed/>
    <w:rsid w:val="00B03CAB"/>
    <w:rPr>
      <w:sz w:val="16"/>
      <w:szCs w:val="16"/>
    </w:rPr>
  </w:style>
  <w:style w:type="paragraph" w:styleId="CommentText">
    <w:name w:val="annotation text"/>
    <w:basedOn w:val="Normal"/>
    <w:link w:val="CommentTextChar"/>
    <w:uiPriority w:val="99"/>
    <w:semiHidden/>
    <w:unhideWhenUsed/>
    <w:rsid w:val="00B03CAB"/>
    <w:pPr>
      <w:spacing w:line="240" w:lineRule="auto"/>
    </w:pPr>
    <w:rPr>
      <w:sz w:val="20"/>
      <w:szCs w:val="20"/>
    </w:rPr>
  </w:style>
  <w:style w:type="character" w:customStyle="1" w:styleId="CommentTextChar">
    <w:name w:val="Comment Text Char"/>
    <w:basedOn w:val="DefaultParagraphFont"/>
    <w:link w:val="CommentText"/>
    <w:uiPriority w:val="99"/>
    <w:semiHidden/>
    <w:rsid w:val="00B03CA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3CAB"/>
    <w:rPr>
      <w:b/>
      <w:bCs/>
    </w:rPr>
  </w:style>
  <w:style w:type="character" w:customStyle="1" w:styleId="CommentSubjectChar">
    <w:name w:val="Comment Subject Char"/>
    <w:basedOn w:val="CommentTextChar"/>
    <w:link w:val="CommentSubject"/>
    <w:uiPriority w:val="99"/>
    <w:semiHidden/>
    <w:rsid w:val="00B03CAB"/>
    <w:rPr>
      <w:b/>
      <w:bCs/>
      <w:kern w:val="0"/>
      <w:sz w:val="20"/>
      <w:szCs w:val="20"/>
      <w14:ligatures w14:val="none"/>
    </w:rPr>
  </w:style>
  <w:style w:type="paragraph" w:styleId="BalloonText">
    <w:name w:val="Balloon Text"/>
    <w:basedOn w:val="Normal"/>
    <w:link w:val="BalloonTextChar"/>
    <w:uiPriority w:val="99"/>
    <w:semiHidden/>
    <w:unhideWhenUsed/>
    <w:rsid w:val="00E23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779"/>
    <w:rPr>
      <w:rFonts w:ascii="Segoe UI" w:hAnsi="Segoe UI" w:cs="Segoe UI"/>
      <w:kern w:val="0"/>
      <w:sz w:val="18"/>
      <w:szCs w:val="18"/>
      <w14:ligatures w14:val="none"/>
    </w:rPr>
  </w:style>
  <w:style w:type="paragraph" w:styleId="Revision">
    <w:name w:val="Revision"/>
    <w:hidden/>
    <w:uiPriority w:val="99"/>
    <w:semiHidden/>
    <w:rsid w:val="005149B0"/>
    <w:rPr>
      <w:kern w:val="0"/>
      <w:sz w:val="22"/>
      <w:szCs w:val="22"/>
      <w14:ligatures w14:val="none"/>
    </w:rPr>
  </w:style>
  <w:style w:type="paragraph" w:styleId="Header">
    <w:name w:val="header"/>
    <w:basedOn w:val="Normal"/>
    <w:link w:val="HeaderChar"/>
    <w:uiPriority w:val="99"/>
    <w:unhideWhenUsed/>
    <w:rsid w:val="00DD1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27D"/>
    <w:rPr>
      <w:kern w:val="0"/>
      <w:sz w:val="22"/>
      <w:szCs w:val="22"/>
      <w14:ligatures w14:val="none"/>
    </w:rPr>
  </w:style>
  <w:style w:type="paragraph" w:styleId="Footer">
    <w:name w:val="footer"/>
    <w:aliases w:val="Char"/>
    <w:basedOn w:val="Normal"/>
    <w:link w:val="FooterChar"/>
    <w:uiPriority w:val="99"/>
    <w:unhideWhenUsed/>
    <w:rsid w:val="00DD127D"/>
    <w:pPr>
      <w:tabs>
        <w:tab w:val="center" w:pos="4536"/>
        <w:tab w:val="right" w:pos="9072"/>
      </w:tabs>
      <w:spacing w:after="0" w:line="240" w:lineRule="auto"/>
    </w:pPr>
  </w:style>
  <w:style w:type="character" w:customStyle="1" w:styleId="FooterChar">
    <w:name w:val="Footer Char"/>
    <w:aliases w:val="Char Char"/>
    <w:basedOn w:val="DefaultParagraphFont"/>
    <w:link w:val="Footer"/>
    <w:uiPriority w:val="99"/>
    <w:rsid w:val="00DD127D"/>
    <w:rPr>
      <w:kern w:val="0"/>
      <w:sz w:val="22"/>
      <w:szCs w:val="22"/>
      <w14:ligatures w14:val="none"/>
    </w:rPr>
  </w:style>
  <w:style w:type="paragraph" w:customStyle="1" w:styleId="Webovstrnkyvzpat">
    <w:name w:val="Webové stránky v zápatí"/>
    <w:basedOn w:val="Normal"/>
    <w:link w:val="WebovstrnkyvzpatChar"/>
    <w:rsid w:val="00DD127D"/>
    <w:pPr>
      <w:tabs>
        <w:tab w:val="left" w:pos="5790"/>
      </w:tabs>
      <w:spacing w:after="0" w:line="240" w:lineRule="auto"/>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DefaultParagraphFont"/>
    <w:link w:val="Webovstrnkyvzpat"/>
    <w:rsid w:val="00DD127D"/>
    <w:rPr>
      <w:rFonts w:ascii="Montserrat" w:hAnsi="Montserrat" w:cs="Times New Roman"/>
      <w:b/>
      <w:color w:val="17327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026355">
      <w:bodyDiv w:val="1"/>
      <w:marLeft w:val="0"/>
      <w:marRight w:val="0"/>
      <w:marTop w:val="0"/>
      <w:marBottom w:val="0"/>
      <w:divBdr>
        <w:top w:val="none" w:sz="0" w:space="0" w:color="auto"/>
        <w:left w:val="none" w:sz="0" w:space="0" w:color="auto"/>
        <w:bottom w:val="none" w:sz="0" w:space="0" w:color="auto"/>
        <w:right w:val="none" w:sz="0" w:space="0" w:color="auto"/>
      </w:divBdr>
      <w:divsChild>
        <w:div w:id="24841123">
          <w:marLeft w:val="0"/>
          <w:marRight w:val="0"/>
          <w:marTop w:val="0"/>
          <w:marBottom w:val="0"/>
          <w:divBdr>
            <w:top w:val="none" w:sz="0" w:space="0" w:color="auto"/>
            <w:left w:val="none" w:sz="0" w:space="0" w:color="auto"/>
            <w:bottom w:val="none" w:sz="0" w:space="0" w:color="auto"/>
            <w:right w:val="none" w:sz="0" w:space="0" w:color="auto"/>
          </w:divBdr>
          <w:divsChild>
            <w:div w:id="482552428">
              <w:marLeft w:val="0"/>
              <w:marRight w:val="0"/>
              <w:marTop w:val="0"/>
              <w:marBottom w:val="0"/>
              <w:divBdr>
                <w:top w:val="none" w:sz="0" w:space="0" w:color="auto"/>
                <w:left w:val="none" w:sz="0" w:space="0" w:color="auto"/>
                <w:bottom w:val="none" w:sz="0" w:space="0" w:color="auto"/>
                <w:right w:val="none" w:sz="0" w:space="0" w:color="auto"/>
              </w:divBdr>
              <w:divsChild>
                <w:div w:id="650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6841-CBCB-4956-AEEE-39F31AD0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1400</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Ecorchard</dc:creator>
  <cp:lastModifiedBy>Mgr. Tomáš Biem</cp:lastModifiedBy>
  <cp:revision>5</cp:revision>
  <dcterms:created xsi:type="dcterms:W3CDTF">2024-04-23T12:49:00Z</dcterms:created>
  <dcterms:modified xsi:type="dcterms:W3CDTF">2024-05-06T15:47:00Z</dcterms:modified>
</cp:coreProperties>
</file>