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E16E" w14:textId="0A8D20B9" w:rsidR="009F0C2E" w:rsidRPr="005B61D8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5B61D8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bookmarkEnd w:id="0"/>
      <w:r w:rsidR="00A63542">
        <w:rPr>
          <w:rFonts w:asciiTheme="minorHAnsi" w:hAnsiTheme="minorHAnsi" w:cstheme="minorHAnsi"/>
          <w:b/>
          <w:bCs/>
          <w:color w:val="auto"/>
          <w:szCs w:val="22"/>
        </w:rPr>
        <w:t>13</w:t>
      </w:r>
      <w:r w:rsidR="00056FCB" w:rsidRPr="005B61D8">
        <w:rPr>
          <w:rFonts w:asciiTheme="minorHAnsi" w:hAnsiTheme="minorHAnsi" w:cstheme="minorHAnsi"/>
          <w:b/>
          <w:bCs/>
          <w:color w:val="auto"/>
          <w:szCs w:val="22"/>
        </w:rPr>
        <w:t xml:space="preserve"> zadávací dokumentace</w:t>
      </w:r>
    </w:p>
    <w:p w14:paraId="5AF3EC10" w14:textId="77777777" w:rsidR="009F0C2E" w:rsidRPr="005B61D8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5AB3F701" w14:textId="3A557B1A" w:rsidR="009C2A67" w:rsidRDefault="00BB6D9F" w:rsidP="009C2A67">
      <w:pPr>
        <w:spacing w:line="280" w:lineRule="atLeast"/>
        <w:jc w:val="center"/>
        <w:rPr>
          <w:b/>
          <w:color w:val="auto"/>
        </w:rPr>
      </w:pPr>
      <w:r>
        <w:rPr>
          <w:b/>
          <w:color w:val="auto"/>
        </w:rPr>
        <w:t>Shrnutí předběžné tržní konzultace</w:t>
      </w:r>
    </w:p>
    <w:p w14:paraId="01DD7950" w14:textId="77777777" w:rsidR="00BB6D9F" w:rsidRDefault="00BB6D9F" w:rsidP="00BB6D9F">
      <w:pPr>
        <w:spacing w:line="280" w:lineRule="atLeast"/>
        <w:rPr>
          <w:b/>
          <w:color w:val="auto"/>
        </w:rPr>
      </w:pPr>
    </w:p>
    <w:p w14:paraId="567F255A" w14:textId="38F35624" w:rsidR="00BB6D9F" w:rsidRPr="00BB6D9F" w:rsidRDefault="00BB6D9F" w:rsidP="00BB6D9F">
      <w:pPr>
        <w:pStyle w:val="Nadpis1rovn"/>
      </w:pPr>
      <w:r>
        <w:t>iNFORMACE O PTK</w:t>
      </w:r>
    </w:p>
    <w:p w14:paraId="41FFE8E5" w14:textId="77777777" w:rsidR="00BB6D9F" w:rsidRPr="00BB6D9F" w:rsidRDefault="00BB6D9F" w:rsidP="00BB6D9F">
      <w:pPr>
        <w:rPr>
          <w:rFonts w:asciiTheme="minorHAnsi" w:hAnsiTheme="minorHAnsi" w:cstheme="minorHAnsi"/>
          <w:b/>
          <w:bCs/>
          <w:caps/>
          <w:color w:val="000000" w:themeColor="text1"/>
          <w:szCs w:val="22"/>
          <w:lang w:eastAsia="en-US"/>
        </w:rPr>
      </w:pPr>
    </w:p>
    <w:p w14:paraId="778B8064" w14:textId="359ED2F0" w:rsidR="00BB6D9F" w:rsidRPr="002A6EDA" w:rsidRDefault="00BB6D9F" w:rsidP="00BB6D9F">
      <w:pPr>
        <w:jc w:val="both"/>
        <w:rPr>
          <w:color w:val="000000" w:themeColor="text1"/>
          <w:lang w:eastAsia="en-US"/>
        </w:rPr>
      </w:pPr>
      <w:r w:rsidRPr="002A6EDA">
        <w:rPr>
          <w:color w:val="000000" w:themeColor="text1"/>
          <w:lang w:eastAsia="en-US"/>
        </w:rPr>
        <w:t xml:space="preserve">Městská část Praha 9, IČO: 00063894, se sídlem  Sokolovská 14/324, 180 49 Praha 9 (dále jen „Zadavatel“) informovala dne </w:t>
      </w:r>
      <w:r w:rsidR="00B30B6C">
        <w:rPr>
          <w:color w:val="000000" w:themeColor="text1"/>
          <w:lang w:eastAsia="en-US"/>
        </w:rPr>
        <w:t>25.</w:t>
      </w:r>
      <w:r w:rsidR="00E866EA">
        <w:rPr>
          <w:color w:val="000000" w:themeColor="text1"/>
          <w:lang w:eastAsia="en-US"/>
        </w:rPr>
        <w:t xml:space="preserve"> </w:t>
      </w:r>
      <w:r w:rsidR="00B30B6C">
        <w:rPr>
          <w:color w:val="000000" w:themeColor="text1"/>
          <w:lang w:eastAsia="en-US"/>
        </w:rPr>
        <w:t>7.</w:t>
      </w:r>
      <w:r w:rsidR="00E866EA">
        <w:rPr>
          <w:color w:val="000000" w:themeColor="text1"/>
          <w:lang w:eastAsia="en-US"/>
        </w:rPr>
        <w:t xml:space="preserve"> </w:t>
      </w:r>
      <w:r w:rsidR="00B30B6C">
        <w:rPr>
          <w:color w:val="000000" w:themeColor="text1"/>
          <w:lang w:eastAsia="en-US"/>
        </w:rPr>
        <w:t>2024</w:t>
      </w:r>
      <w:r w:rsidRPr="002A6EDA">
        <w:rPr>
          <w:color w:val="000000" w:themeColor="text1"/>
          <w:lang w:eastAsia="en-US"/>
        </w:rPr>
        <w:t xml:space="preserve"> širokou veřejnost prostřednictvím webových stránek Zadavatele, že aktuálně v souladu s ustanovením § 33 zákona č. 134/2016 Sb., o zadávání veřejných zakázek, ve znění pozdějších předpisů (dále jen „</w:t>
      </w:r>
      <w:r w:rsidRPr="00DB4C8E">
        <w:rPr>
          <w:b/>
          <w:bCs/>
          <w:color w:val="000000" w:themeColor="text1"/>
          <w:lang w:eastAsia="en-US"/>
        </w:rPr>
        <w:t>ZZVZ</w:t>
      </w:r>
      <w:r w:rsidRPr="002A6EDA">
        <w:rPr>
          <w:color w:val="000000" w:themeColor="text1"/>
          <w:lang w:eastAsia="en-US"/>
        </w:rPr>
        <w:t>“) provádí předběžnou tržní konzultací (dále jen „</w:t>
      </w:r>
      <w:r w:rsidR="00DB4C8E" w:rsidRPr="00DB4C8E">
        <w:rPr>
          <w:b/>
          <w:bCs/>
          <w:color w:val="000000" w:themeColor="text1"/>
          <w:lang w:eastAsia="en-US"/>
        </w:rPr>
        <w:t>PTK</w:t>
      </w:r>
      <w:r w:rsidRPr="002A6EDA">
        <w:rPr>
          <w:color w:val="000000" w:themeColor="text1"/>
          <w:lang w:eastAsia="en-US"/>
        </w:rPr>
        <w:t>“), jejímž předmětem</w:t>
      </w:r>
      <w:r w:rsidR="00DB4C8E">
        <w:rPr>
          <w:color w:val="000000" w:themeColor="text1"/>
          <w:lang w:eastAsia="en-US"/>
        </w:rPr>
        <w:t xml:space="preserve"> byly</w:t>
      </w:r>
      <w:r w:rsidRPr="002A6EDA">
        <w:rPr>
          <w:color w:val="000000" w:themeColor="text1"/>
          <w:lang w:eastAsia="en-US"/>
        </w:rPr>
        <w:t xml:space="preserve"> vybrané otázky v souvislosti s přípravou zadávacího řízení na zadání veřejné zakázky s předpokládaným názvem „</w:t>
      </w:r>
      <w:r w:rsidRPr="00C17070">
        <w:rPr>
          <w:b/>
          <w:bCs/>
          <w:color w:val="000000" w:themeColor="text1"/>
          <w:lang w:eastAsia="en-US"/>
        </w:rPr>
        <w:t>AMBRELA - KYBERNETICKÝ DEŠTNÍK OCHRANY INFORMAČNÍCH SYSTÉMŮ ÚŘADU MČ PRAHA 9 A JEJICH ORGANIZACÍ</w:t>
      </w:r>
      <w:r w:rsidRPr="002A6EDA">
        <w:rPr>
          <w:color w:val="000000" w:themeColor="text1"/>
          <w:lang w:eastAsia="en-US"/>
        </w:rPr>
        <w:t>“, jejímž cílem je zvýšení kybernetické bezpečnosti Úřadu MČ Praha 9 a vybraných organizací dané MČ (dále jen „</w:t>
      </w:r>
      <w:r w:rsidRPr="00DB4C8E">
        <w:rPr>
          <w:b/>
          <w:bCs/>
          <w:color w:val="000000" w:themeColor="text1"/>
          <w:lang w:eastAsia="en-US"/>
        </w:rPr>
        <w:t>Veřejná zakázka</w:t>
      </w:r>
      <w:r w:rsidRPr="002A6EDA">
        <w:rPr>
          <w:color w:val="000000" w:themeColor="text1"/>
          <w:lang w:eastAsia="en-US"/>
        </w:rPr>
        <w:t xml:space="preserve">“). Veřejná zakázka bude realizovaná za podpory dotačního programu IROP 2021–2027.  Výzva k účasti na PTK byla zároveň dne </w:t>
      </w:r>
      <w:r w:rsidR="002A6EDA" w:rsidRPr="002A6EDA">
        <w:rPr>
          <w:color w:val="000000" w:themeColor="text1"/>
          <w:lang w:eastAsia="en-US"/>
        </w:rPr>
        <w:t>25</w:t>
      </w:r>
      <w:r w:rsidRPr="002A6EDA">
        <w:rPr>
          <w:color w:val="000000" w:themeColor="text1"/>
          <w:lang w:eastAsia="en-US"/>
        </w:rPr>
        <w:t>.</w:t>
      </w:r>
      <w:r w:rsidR="00305587">
        <w:rPr>
          <w:color w:val="000000" w:themeColor="text1"/>
          <w:lang w:eastAsia="en-US"/>
        </w:rPr>
        <w:t xml:space="preserve"> </w:t>
      </w:r>
      <w:r w:rsidR="002A6EDA" w:rsidRPr="002A6EDA">
        <w:rPr>
          <w:color w:val="000000" w:themeColor="text1"/>
          <w:lang w:eastAsia="en-US"/>
        </w:rPr>
        <w:t>7</w:t>
      </w:r>
      <w:r w:rsidRPr="002A6EDA">
        <w:rPr>
          <w:color w:val="000000" w:themeColor="text1"/>
          <w:lang w:eastAsia="en-US"/>
        </w:rPr>
        <w:t>.</w:t>
      </w:r>
      <w:r w:rsidR="00305587">
        <w:rPr>
          <w:color w:val="000000" w:themeColor="text1"/>
          <w:lang w:eastAsia="en-US"/>
        </w:rPr>
        <w:t xml:space="preserve"> </w:t>
      </w:r>
      <w:r w:rsidR="002A6EDA" w:rsidRPr="002A6EDA">
        <w:rPr>
          <w:color w:val="000000" w:themeColor="text1"/>
          <w:lang w:eastAsia="en-US"/>
        </w:rPr>
        <w:t>2024</w:t>
      </w:r>
      <w:r w:rsidRPr="002A6EDA">
        <w:rPr>
          <w:color w:val="000000" w:themeColor="text1"/>
          <w:lang w:eastAsia="en-US"/>
        </w:rPr>
        <w:t xml:space="preserve"> zaslána níže uvedeným dodavatelům:</w:t>
      </w:r>
    </w:p>
    <w:p w14:paraId="665FF5F8" w14:textId="77777777" w:rsidR="002A6EDA" w:rsidRPr="002A6EDA" w:rsidRDefault="002A6EDA" w:rsidP="00BB6D9F">
      <w:pPr>
        <w:jc w:val="both"/>
        <w:rPr>
          <w:color w:val="000000" w:themeColor="text1"/>
          <w:lang w:eastAsia="en-US"/>
        </w:rPr>
      </w:pPr>
    </w:p>
    <w:p w14:paraId="18E008EE" w14:textId="131C995F" w:rsidR="00BB6D9F" w:rsidRPr="002A6EDA" w:rsidRDefault="002A6EDA" w:rsidP="002A6EDA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r w:rsidRPr="002A6EDA">
        <w:rPr>
          <w:color w:val="000000" w:themeColor="text1"/>
        </w:rPr>
        <w:t>Com-Sys</w:t>
      </w:r>
      <w:proofErr w:type="spellEnd"/>
      <w:r w:rsidRPr="002A6EDA">
        <w:rPr>
          <w:color w:val="000000" w:themeColor="text1"/>
        </w:rPr>
        <w:t xml:space="preserve"> TRADE spol. s r.o.</w:t>
      </w:r>
      <w:r w:rsidR="00A46537">
        <w:rPr>
          <w:color w:val="000000" w:themeColor="text1"/>
        </w:rPr>
        <w:t xml:space="preserve">, se sídlem </w:t>
      </w:r>
      <w:r w:rsidR="00A46537" w:rsidRPr="00A46537">
        <w:rPr>
          <w:color w:val="000000" w:themeColor="text1"/>
        </w:rPr>
        <w:t>Jagellonská 2427/19, Vinohrady, 130 00 Praha 3</w:t>
      </w:r>
      <w:r w:rsidR="00A46537">
        <w:rPr>
          <w:color w:val="000000" w:themeColor="text1"/>
        </w:rPr>
        <w:t xml:space="preserve">, </w:t>
      </w:r>
      <w:r w:rsidR="00A07EA2">
        <w:rPr>
          <w:color w:val="000000" w:themeColor="text1"/>
        </w:rPr>
        <w:br/>
      </w:r>
      <w:r w:rsidR="00A46537">
        <w:rPr>
          <w:color w:val="000000" w:themeColor="text1"/>
        </w:rPr>
        <w:t xml:space="preserve">IČO: </w:t>
      </w:r>
      <w:r w:rsidR="00A46537" w:rsidRPr="00A46537">
        <w:rPr>
          <w:color w:val="000000" w:themeColor="text1"/>
        </w:rPr>
        <w:t>16188781</w:t>
      </w:r>
      <w:r w:rsidR="00A46537">
        <w:rPr>
          <w:color w:val="000000" w:themeColor="text1"/>
        </w:rPr>
        <w:t>;</w:t>
      </w:r>
    </w:p>
    <w:p w14:paraId="23ED6AF0" w14:textId="107E5714" w:rsidR="002A6EDA" w:rsidRPr="002A6EDA" w:rsidRDefault="002A6EDA" w:rsidP="002A6EDA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>TOTAL SERVICE a.s.</w:t>
      </w:r>
      <w:r w:rsidR="00A46537">
        <w:rPr>
          <w:color w:val="000000" w:themeColor="text1"/>
        </w:rPr>
        <w:t xml:space="preserve">, se sídlem </w:t>
      </w:r>
      <w:r w:rsidR="00A46537" w:rsidRPr="00A46537">
        <w:rPr>
          <w:color w:val="000000" w:themeColor="text1"/>
        </w:rPr>
        <w:t xml:space="preserve">U </w:t>
      </w:r>
      <w:proofErr w:type="spellStart"/>
      <w:r w:rsidR="00A46537" w:rsidRPr="00A46537">
        <w:rPr>
          <w:color w:val="000000" w:themeColor="text1"/>
        </w:rPr>
        <w:t>Uranie</w:t>
      </w:r>
      <w:proofErr w:type="spellEnd"/>
      <w:r w:rsidR="00A46537" w:rsidRPr="00A46537">
        <w:rPr>
          <w:color w:val="000000" w:themeColor="text1"/>
        </w:rPr>
        <w:t xml:space="preserve"> 954/18, Holešovice, 170 00 Praha 7</w:t>
      </w:r>
      <w:r w:rsidR="00A46537">
        <w:rPr>
          <w:color w:val="000000" w:themeColor="text1"/>
        </w:rPr>
        <w:t xml:space="preserve">, IČO: </w:t>
      </w:r>
      <w:r w:rsidR="00A46537" w:rsidRPr="00A46537">
        <w:rPr>
          <w:color w:val="000000" w:themeColor="text1"/>
        </w:rPr>
        <w:t>25618067</w:t>
      </w:r>
      <w:r w:rsidR="00A46537">
        <w:rPr>
          <w:color w:val="000000" w:themeColor="text1"/>
        </w:rPr>
        <w:t>;</w:t>
      </w:r>
    </w:p>
    <w:p w14:paraId="7839511C" w14:textId="19DC68F8" w:rsidR="002A6EDA" w:rsidRPr="002A6EDA" w:rsidRDefault="002A6EDA" w:rsidP="002A6EDA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 xml:space="preserve">Corpus </w:t>
      </w:r>
      <w:proofErr w:type="spellStart"/>
      <w:r w:rsidRPr="002A6EDA">
        <w:rPr>
          <w:color w:val="000000" w:themeColor="text1"/>
        </w:rPr>
        <w:t>Solutions</w:t>
      </w:r>
      <w:proofErr w:type="spellEnd"/>
      <w:r w:rsidRPr="002A6EDA">
        <w:rPr>
          <w:color w:val="000000" w:themeColor="text1"/>
        </w:rPr>
        <w:t xml:space="preserve"> a.s.</w:t>
      </w:r>
      <w:r w:rsidR="00A46537">
        <w:rPr>
          <w:color w:val="000000" w:themeColor="text1"/>
        </w:rPr>
        <w:t xml:space="preserve">, se sídlem </w:t>
      </w:r>
      <w:r w:rsidR="00A46537" w:rsidRPr="00A46537">
        <w:rPr>
          <w:color w:val="000000" w:themeColor="text1"/>
        </w:rPr>
        <w:t>Štětkova 1638/18, Nusle, 140 00 Praha 4</w:t>
      </w:r>
      <w:r w:rsidR="00A46537">
        <w:rPr>
          <w:color w:val="000000" w:themeColor="text1"/>
        </w:rPr>
        <w:t xml:space="preserve">, IČO: </w:t>
      </w:r>
      <w:r w:rsidR="00A46537" w:rsidRPr="00A46537">
        <w:rPr>
          <w:color w:val="000000" w:themeColor="text1"/>
        </w:rPr>
        <w:t>25764616</w:t>
      </w:r>
    </w:p>
    <w:p w14:paraId="4790CFA0" w14:textId="1A9DD2AC" w:rsidR="002A6EDA" w:rsidRPr="002A6EDA" w:rsidRDefault="002A6EDA" w:rsidP="00BB6D9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 xml:space="preserve">Open </w:t>
      </w:r>
      <w:proofErr w:type="spellStart"/>
      <w:r w:rsidRPr="002A6EDA">
        <w:rPr>
          <w:color w:val="000000" w:themeColor="text1"/>
        </w:rPr>
        <w:t>Apps</w:t>
      </w:r>
      <w:proofErr w:type="spellEnd"/>
      <w:r w:rsidRPr="002A6EDA">
        <w:rPr>
          <w:color w:val="000000" w:themeColor="text1"/>
        </w:rPr>
        <w:t xml:space="preserve"> Development, a.s.</w:t>
      </w:r>
      <w:r w:rsidR="00A46537">
        <w:rPr>
          <w:color w:val="000000" w:themeColor="text1"/>
        </w:rPr>
        <w:t xml:space="preserve">, se sídlem </w:t>
      </w:r>
      <w:r w:rsidR="00A46537" w:rsidRPr="00A46537">
        <w:rPr>
          <w:color w:val="000000" w:themeColor="text1"/>
        </w:rPr>
        <w:t>Kurta Konráda 2517/1, Libeň, 190 00 Praha 9</w:t>
      </w:r>
      <w:r w:rsidR="00A46537">
        <w:rPr>
          <w:color w:val="000000" w:themeColor="text1"/>
        </w:rPr>
        <w:t xml:space="preserve">, </w:t>
      </w:r>
      <w:r w:rsidR="00A07EA2">
        <w:rPr>
          <w:color w:val="000000" w:themeColor="text1"/>
        </w:rPr>
        <w:br/>
      </w:r>
      <w:r w:rsidR="00A46537">
        <w:rPr>
          <w:color w:val="000000" w:themeColor="text1"/>
        </w:rPr>
        <w:t xml:space="preserve">IČO: </w:t>
      </w:r>
      <w:r w:rsidR="00A46537" w:rsidRPr="00A46537">
        <w:rPr>
          <w:color w:val="000000" w:themeColor="text1"/>
        </w:rPr>
        <w:t>11649275</w:t>
      </w:r>
      <w:r w:rsidR="00A46537">
        <w:rPr>
          <w:color w:val="000000" w:themeColor="text1"/>
        </w:rPr>
        <w:t>;</w:t>
      </w:r>
    </w:p>
    <w:p w14:paraId="687BB596" w14:textId="5C6CA511" w:rsidR="002A6EDA" w:rsidRPr="002A6EDA" w:rsidRDefault="002A6EDA" w:rsidP="00BB6D9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>ICZ a.s</w:t>
      </w:r>
      <w:r w:rsidR="00DE0661">
        <w:rPr>
          <w:color w:val="000000" w:themeColor="text1"/>
        </w:rPr>
        <w:t>.</w:t>
      </w:r>
      <w:r w:rsidR="00AA553F">
        <w:rPr>
          <w:color w:val="000000" w:themeColor="text1"/>
        </w:rPr>
        <w:t xml:space="preserve">, se sídlem </w:t>
      </w:r>
      <w:r w:rsidR="00AA553F" w:rsidRPr="00AA553F">
        <w:rPr>
          <w:color w:val="000000" w:themeColor="text1"/>
        </w:rPr>
        <w:t>Na hřebenech II 1718/10, Nusle, 140 00 Praha 4</w:t>
      </w:r>
      <w:r w:rsidR="00AA553F">
        <w:rPr>
          <w:color w:val="000000" w:themeColor="text1"/>
        </w:rPr>
        <w:t xml:space="preserve">, IČO: </w:t>
      </w:r>
      <w:r w:rsidR="00AA553F" w:rsidRPr="00AA553F">
        <w:rPr>
          <w:color w:val="000000" w:themeColor="text1"/>
        </w:rPr>
        <w:t>25145444</w:t>
      </w:r>
      <w:r w:rsidR="00AA553F">
        <w:rPr>
          <w:color w:val="000000" w:themeColor="text1"/>
        </w:rPr>
        <w:t>.</w:t>
      </w:r>
    </w:p>
    <w:p w14:paraId="20D18A27" w14:textId="18C8DD53" w:rsidR="002A6EDA" w:rsidRDefault="009A75AC" w:rsidP="00BB6D9F"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Zadavatel v PTK informoval, že </w:t>
      </w:r>
      <w:r w:rsidRPr="009A75AC">
        <w:rPr>
          <w:color w:val="000000" w:themeColor="text1"/>
          <w:lang w:eastAsia="en-US"/>
        </w:rPr>
        <w:t>uvažuje o pořízení a implementaci níže specifikovaných technologií v rámci jedné veřejné nadlimitní veřejné zakázky zadávané postupem dle ZZVZ. Místem plnění by bylo datové centrum Zadavatele na Praze 9</w:t>
      </w:r>
      <w:r>
        <w:rPr>
          <w:color w:val="000000" w:themeColor="text1"/>
          <w:lang w:eastAsia="en-US"/>
        </w:rPr>
        <w:t>:</w:t>
      </w:r>
    </w:p>
    <w:p w14:paraId="55BE26F9" w14:textId="77777777" w:rsidR="009A75AC" w:rsidRDefault="009A75AC" w:rsidP="00BB6D9F">
      <w:pPr>
        <w:jc w:val="both"/>
        <w:rPr>
          <w:color w:val="000000" w:themeColor="text1"/>
          <w:lang w:eastAsia="en-US"/>
        </w:rPr>
      </w:pPr>
    </w:p>
    <w:p w14:paraId="48E8D827" w14:textId="77777777" w:rsidR="009A75AC" w:rsidRPr="0062450C" w:rsidRDefault="009A75AC" w:rsidP="009A75AC">
      <w:pPr>
        <w:jc w:val="both"/>
        <w:rPr>
          <w:b/>
          <w:bCs/>
          <w:i/>
          <w:iCs/>
          <w:color w:val="000000" w:themeColor="text1"/>
          <w:lang w:eastAsia="en-US"/>
        </w:rPr>
      </w:pPr>
      <w:r w:rsidRPr="0062450C">
        <w:rPr>
          <w:b/>
          <w:bCs/>
          <w:i/>
          <w:iCs/>
          <w:color w:val="000000" w:themeColor="text1"/>
          <w:lang w:eastAsia="en-US"/>
        </w:rPr>
        <w:t>2 x Firewall</w:t>
      </w:r>
    </w:p>
    <w:p w14:paraId="27B93B64" w14:textId="77777777" w:rsidR="009A75AC" w:rsidRPr="0062450C" w:rsidRDefault="009A75AC" w:rsidP="009A75AC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proofErr w:type="spellStart"/>
      <w:r w:rsidRPr="0062450C">
        <w:rPr>
          <w:i/>
          <w:iCs/>
          <w:color w:val="000000" w:themeColor="text1"/>
        </w:rPr>
        <w:t>Next-generation</w:t>
      </w:r>
      <w:proofErr w:type="spellEnd"/>
      <w:r w:rsidRPr="0062450C">
        <w:rPr>
          <w:i/>
          <w:iCs/>
          <w:color w:val="000000" w:themeColor="text1"/>
        </w:rPr>
        <w:t xml:space="preserve"> firewall s pokročilými bezpečnostními funkcemi pro ochranu perimetru a interních sítí. Zajišťuje filtrování provozu na základě parametrů určených pro jednotlivé síťové vrstvy. Propojuje jednotlivé podřízené organizace a zajišťuje pokročilou filtraci a ochranu provozu menším z nich. Funguje jako jednotný vstupní bod do napojených infrastruktur při použití VPN.</w:t>
      </w:r>
    </w:p>
    <w:p w14:paraId="08284266" w14:textId="77777777" w:rsidR="009A75AC" w:rsidRPr="0062450C" w:rsidRDefault="009A75AC" w:rsidP="009A75AC">
      <w:pPr>
        <w:jc w:val="both"/>
        <w:rPr>
          <w:b/>
          <w:bCs/>
          <w:i/>
          <w:iCs/>
          <w:color w:val="000000" w:themeColor="text1"/>
          <w:lang w:eastAsia="en-US"/>
        </w:rPr>
      </w:pPr>
      <w:r w:rsidRPr="0062450C">
        <w:rPr>
          <w:b/>
          <w:bCs/>
          <w:i/>
          <w:iCs/>
          <w:color w:val="000000" w:themeColor="text1"/>
          <w:lang w:eastAsia="en-US"/>
        </w:rPr>
        <w:t>Centrální správa pobočkových firewallů</w:t>
      </w:r>
    </w:p>
    <w:p w14:paraId="0B87F915" w14:textId="77777777" w:rsidR="009A75AC" w:rsidRDefault="009A75AC" w:rsidP="009A75AC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62450C">
        <w:rPr>
          <w:i/>
          <w:iCs/>
          <w:color w:val="000000" w:themeColor="text1"/>
        </w:rPr>
        <w:t xml:space="preserve">Management nástroj sloužící pro usnadnění správy centrálního a pobočkových firewallů. Umožňuje manuální/automatický </w:t>
      </w:r>
      <w:proofErr w:type="spellStart"/>
      <w:r w:rsidRPr="0062450C">
        <w:rPr>
          <w:i/>
          <w:iCs/>
          <w:color w:val="000000" w:themeColor="text1"/>
        </w:rPr>
        <w:t>deploy</w:t>
      </w:r>
      <w:proofErr w:type="spellEnd"/>
      <w:r w:rsidRPr="0062450C">
        <w:rPr>
          <w:i/>
          <w:iCs/>
          <w:color w:val="000000" w:themeColor="text1"/>
        </w:rPr>
        <w:t xml:space="preserve"> </w:t>
      </w:r>
      <w:proofErr w:type="spellStart"/>
      <w:r w:rsidRPr="0062450C">
        <w:rPr>
          <w:i/>
          <w:iCs/>
          <w:color w:val="000000" w:themeColor="text1"/>
        </w:rPr>
        <w:t>předkonfigurovaných</w:t>
      </w:r>
      <w:proofErr w:type="spellEnd"/>
      <w:r w:rsidRPr="0062450C">
        <w:rPr>
          <w:i/>
          <w:iCs/>
          <w:color w:val="000000" w:themeColor="text1"/>
        </w:rPr>
        <w:t xml:space="preserve"> objektů a pravidel do pobočkových firewallů, při zachování konzistence jejich názvosloví a dalších vlastností napříč infrastrukturou.</w:t>
      </w:r>
    </w:p>
    <w:p w14:paraId="7A76604A" w14:textId="77777777" w:rsidR="00305587" w:rsidRPr="0062450C" w:rsidRDefault="00305587" w:rsidP="00305587">
      <w:pPr>
        <w:pStyle w:val="Odstavecseseznamem"/>
        <w:jc w:val="both"/>
        <w:rPr>
          <w:i/>
          <w:iCs/>
          <w:color w:val="000000" w:themeColor="text1"/>
        </w:rPr>
      </w:pPr>
    </w:p>
    <w:p w14:paraId="7A6B4CAE" w14:textId="77777777" w:rsidR="009A75AC" w:rsidRPr="0062450C" w:rsidRDefault="009A75AC" w:rsidP="009A75AC">
      <w:pPr>
        <w:jc w:val="both"/>
        <w:rPr>
          <w:b/>
          <w:bCs/>
          <w:i/>
          <w:iCs/>
          <w:color w:val="000000" w:themeColor="text1"/>
          <w:lang w:eastAsia="en-US"/>
        </w:rPr>
      </w:pPr>
      <w:r w:rsidRPr="0062450C">
        <w:rPr>
          <w:b/>
          <w:bCs/>
          <w:i/>
          <w:iCs/>
          <w:color w:val="000000" w:themeColor="text1"/>
          <w:lang w:eastAsia="en-US"/>
        </w:rPr>
        <w:t>1 x Diskové pole</w:t>
      </w:r>
    </w:p>
    <w:p w14:paraId="016995F1" w14:textId="77777777" w:rsidR="009A75AC" w:rsidRPr="0062450C" w:rsidRDefault="009A75AC" w:rsidP="0062450C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62450C">
        <w:rPr>
          <w:i/>
          <w:iCs/>
          <w:color w:val="000000" w:themeColor="text1"/>
        </w:rPr>
        <w:t xml:space="preserve">Full </w:t>
      </w:r>
      <w:proofErr w:type="spellStart"/>
      <w:r w:rsidRPr="0062450C">
        <w:rPr>
          <w:i/>
          <w:iCs/>
          <w:color w:val="000000" w:themeColor="text1"/>
        </w:rPr>
        <w:t>flash</w:t>
      </w:r>
      <w:proofErr w:type="spellEnd"/>
      <w:r w:rsidRPr="0062450C">
        <w:rPr>
          <w:i/>
          <w:iCs/>
          <w:color w:val="000000" w:themeColor="text1"/>
        </w:rPr>
        <w:t xml:space="preserve"> diskové úložiště pro produkční a testovací databázové systémy. </w:t>
      </w:r>
      <w:proofErr w:type="spellStart"/>
      <w:r w:rsidRPr="0062450C">
        <w:rPr>
          <w:i/>
          <w:iCs/>
          <w:color w:val="000000" w:themeColor="text1"/>
        </w:rPr>
        <w:t>Storage</w:t>
      </w:r>
      <w:proofErr w:type="spellEnd"/>
      <w:r w:rsidRPr="0062450C">
        <w:rPr>
          <w:i/>
          <w:iCs/>
          <w:color w:val="000000" w:themeColor="text1"/>
        </w:rPr>
        <w:t xml:space="preserve"> jsou specializované </w:t>
      </w:r>
      <w:proofErr w:type="spellStart"/>
      <w:r w:rsidRPr="0062450C">
        <w:rPr>
          <w:i/>
          <w:iCs/>
          <w:color w:val="000000" w:themeColor="text1"/>
        </w:rPr>
        <w:t>úložištní</w:t>
      </w:r>
      <w:proofErr w:type="spellEnd"/>
      <w:r w:rsidRPr="0062450C">
        <w:rPr>
          <w:i/>
          <w:iCs/>
          <w:color w:val="000000" w:themeColor="text1"/>
        </w:rPr>
        <w:t xml:space="preserve"> systémy pro efektivní a výkonné správy a ukládání dat. Mimo jiné fungují jako úložiště pro jednotlivé virtuální servery. Celkové hardwarové řešení musí zajistit dostatečnou odolnost proti hardware </w:t>
      </w:r>
      <w:proofErr w:type="spellStart"/>
      <w:r w:rsidRPr="0062450C">
        <w:rPr>
          <w:i/>
          <w:iCs/>
          <w:color w:val="000000" w:themeColor="text1"/>
        </w:rPr>
        <w:t>failure</w:t>
      </w:r>
      <w:proofErr w:type="spellEnd"/>
      <w:r w:rsidRPr="0062450C">
        <w:rPr>
          <w:i/>
          <w:iCs/>
          <w:color w:val="000000" w:themeColor="text1"/>
        </w:rPr>
        <w:t xml:space="preserve"> a dostatečnou kapacitu pro provoz požadovaných aplikací ve dvou lokalitách kvůli geografické redundanci (1 primární lokalita, 1 sekundární lokalita). SAN FC 32 min 40 TB RAW kapacity. Připojení přes </w:t>
      </w:r>
      <w:proofErr w:type="spellStart"/>
      <w:r w:rsidRPr="0062450C">
        <w:rPr>
          <w:i/>
          <w:iCs/>
          <w:color w:val="000000" w:themeColor="text1"/>
        </w:rPr>
        <w:t>Fibre</w:t>
      </w:r>
      <w:proofErr w:type="spellEnd"/>
      <w:r w:rsidRPr="0062450C">
        <w:rPr>
          <w:i/>
          <w:iCs/>
          <w:color w:val="000000" w:themeColor="text1"/>
        </w:rPr>
        <w:t xml:space="preserve"> </w:t>
      </w:r>
      <w:proofErr w:type="spellStart"/>
      <w:r w:rsidRPr="0062450C">
        <w:rPr>
          <w:i/>
          <w:iCs/>
          <w:color w:val="000000" w:themeColor="text1"/>
        </w:rPr>
        <w:t>channel</w:t>
      </w:r>
      <w:proofErr w:type="spellEnd"/>
      <w:r w:rsidRPr="0062450C">
        <w:rPr>
          <w:i/>
          <w:iCs/>
          <w:color w:val="000000" w:themeColor="text1"/>
        </w:rPr>
        <w:t xml:space="preserve"> porty. </w:t>
      </w:r>
    </w:p>
    <w:p w14:paraId="4AA9F33A" w14:textId="77777777" w:rsidR="009A75AC" w:rsidRPr="0062450C" w:rsidRDefault="009A75AC" w:rsidP="009A75AC">
      <w:pPr>
        <w:jc w:val="both"/>
        <w:rPr>
          <w:b/>
          <w:bCs/>
          <w:i/>
          <w:iCs/>
          <w:color w:val="000000" w:themeColor="text1"/>
          <w:lang w:eastAsia="en-US"/>
        </w:rPr>
      </w:pPr>
      <w:r w:rsidRPr="0062450C">
        <w:rPr>
          <w:b/>
          <w:bCs/>
          <w:i/>
          <w:iCs/>
          <w:color w:val="000000" w:themeColor="text1"/>
          <w:lang w:eastAsia="en-US"/>
        </w:rPr>
        <w:t>Nástroj na sběr a vyhodnocování logů</w:t>
      </w:r>
    </w:p>
    <w:p w14:paraId="74E4C625" w14:textId="77777777" w:rsidR="009A75AC" w:rsidRPr="0062450C" w:rsidRDefault="009A75AC" w:rsidP="0062450C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62450C">
        <w:rPr>
          <w:i/>
          <w:iCs/>
          <w:color w:val="000000" w:themeColor="text1"/>
        </w:rPr>
        <w:t xml:space="preserve">Centralizovaný log management, samostatná hardwarová </w:t>
      </w:r>
      <w:proofErr w:type="spellStart"/>
      <w:r w:rsidRPr="0062450C">
        <w:rPr>
          <w:i/>
          <w:iCs/>
          <w:color w:val="000000" w:themeColor="text1"/>
        </w:rPr>
        <w:t>appliance</w:t>
      </w:r>
      <w:proofErr w:type="spellEnd"/>
      <w:r w:rsidRPr="0062450C">
        <w:rPr>
          <w:i/>
          <w:iCs/>
          <w:color w:val="000000" w:themeColor="text1"/>
        </w:rPr>
        <w:t>, grafické uživatelské rozhraní, indexování obsah s 120 TB databází a integrací logovaných zdrojů, fyzická instalace zařízení do racku, instalace software, konfigurace logování všech aktivních síťových prvků, firewallů, bezdrátových přístupových bodů, fyzických a virtuálních serverů.</w:t>
      </w:r>
    </w:p>
    <w:p w14:paraId="07926917" w14:textId="77777777" w:rsidR="009A75AC" w:rsidRPr="0062450C" w:rsidRDefault="009A75AC" w:rsidP="009A75AC">
      <w:pPr>
        <w:jc w:val="both"/>
        <w:rPr>
          <w:b/>
          <w:bCs/>
          <w:i/>
          <w:iCs/>
          <w:color w:val="000000" w:themeColor="text1"/>
          <w:lang w:eastAsia="en-US"/>
        </w:rPr>
      </w:pPr>
      <w:r w:rsidRPr="0062450C">
        <w:rPr>
          <w:b/>
          <w:bCs/>
          <w:i/>
          <w:iCs/>
          <w:color w:val="000000" w:themeColor="text1"/>
          <w:lang w:eastAsia="en-US"/>
        </w:rPr>
        <w:t xml:space="preserve">Technologický aplikační monitoring </w:t>
      </w:r>
    </w:p>
    <w:p w14:paraId="16D63D32" w14:textId="77777777" w:rsidR="009A75AC" w:rsidRPr="0062450C" w:rsidRDefault="009A75AC" w:rsidP="0062450C">
      <w:pPr>
        <w:pStyle w:val="Odstavecseseznamem"/>
        <w:numPr>
          <w:ilvl w:val="0"/>
          <w:numId w:val="9"/>
        </w:numPr>
        <w:jc w:val="both"/>
        <w:rPr>
          <w:i/>
          <w:iCs/>
          <w:color w:val="000000" w:themeColor="text1"/>
        </w:rPr>
      </w:pPr>
      <w:r w:rsidRPr="0062450C">
        <w:rPr>
          <w:i/>
          <w:iCs/>
          <w:color w:val="000000" w:themeColor="text1"/>
        </w:rPr>
        <w:t xml:space="preserve">Jednotná platforma pro </w:t>
      </w:r>
      <w:proofErr w:type="spellStart"/>
      <w:r w:rsidRPr="0062450C">
        <w:rPr>
          <w:i/>
          <w:iCs/>
          <w:color w:val="000000" w:themeColor="text1"/>
        </w:rPr>
        <w:t>visibilitu</w:t>
      </w:r>
      <w:proofErr w:type="spellEnd"/>
      <w:r w:rsidRPr="0062450C">
        <w:rPr>
          <w:i/>
          <w:iCs/>
          <w:color w:val="000000" w:themeColor="text1"/>
        </w:rPr>
        <w:t xml:space="preserve"> incidentů ze všech </w:t>
      </w:r>
      <w:proofErr w:type="spellStart"/>
      <w:r w:rsidRPr="0062450C">
        <w:rPr>
          <w:i/>
          <w:iCs/>
          <w:color w:val="000000" w:themeColor="text1"/>
        </w:rPr>
        <w:t>security</w:t>
      </w:r>
      <w:proofErr w:type="spellEnd"/>
      <w:r w:rsidRPr="0062450C">
        <w:rPr>
          <w:i/>
          <w:iCs/>
          <w:color w:val="000000" w:themeColor="text1"/>
        </w:rPr>
        <w:t xml:space="preserve"> řešení.</w:t>
      </w:r>
    </w:p>
    <w:p w14:paraId="33F67697" w14:textId="1D262C3D" w:rsidR="009A75AC" w:rsidRPr="0062450C" w:rsidRDefault="009A75AC" w:rsidP="009A75AC">
      <w:pPr>
        <w:jc w:val="both"/>
        <w:rPr>
          <w:color w:val="000000" w:themeColor="text1"/>
          <w:lang w:eastAsia="en-US"/>
        </w:rPr>
      </w:pPr>
      <w:r w:rsidRPr="0062450C">
        <w:rPr>
          <w:color w:val="000000" w:themeColor="text1"/>
          <w:lang w:eastAsia="en-US"/>
        </w:rPr>
        <w:t>Bližší specifikac</w:t>
      </w:r>
      <w:r w:rsidR="0062450C">
        <w:rPr>
          <w:color w:val="000000" w:themeColor="text1"/>
          <w:lang w:eastAsia="en-US"/>
        </w:rPr>
        <w:t>i</w:t>
      </w:r>
      <w:r w:rsidRPr="0062450C">
        <w:rPr>
          <w:color w:val="000000" w:themeColor="text1"/>
          <w:lang w:eastAsia="en-US"/>
        </w:rPr>
        <w:t xml:space="preserve"> </w:t>
      </w:r>
      <w:r w:rsidR="0062450C" w:rsidRPr="0062450C">
        <w:rPr>
          <w:color w:val="000000" w:themeColor="text1"/>
          <w:lang w:eastAsia="en-US"/>
        </w:rPr>
        <w:t xml:space="preserve">následně Zadavatel </w:t>
      </w:r>
      <w:r w:rsidRPr="0062450C">
        <w:rPr>
          <w:color w:val="000000" w:themeColor="text1"/>
          <w:lang w:eastAsia="en-US"/>
        </w:rPr>
        <w:t>uved</w:t>
      </w:r>
      <w:r w:rsidR="0062450C" w:rsidRPr="0062450C">
        <w:rPr>
          <w:color w:val="000000" w:themeColor="text1"/>
          <w:lang w:eastAsia="en-US"/>
        </w:rPr>
        <w:t>l</w:t>
      </w:r>
      <w:r w:rsidRPr="0062450C">
        <w:rPr>
          <w:color w:val="000000" w:themeColor="text1"/>
          <w:lang w:eastAsia="en-US"/>
        </w:rPr>
        <w:t xml:space="preserve"> v samostatné excel příloze</w:t>
      </w:r>
      <w:r w:rsidR="0062450C" w:rsidRPr="0062450C">
        <w:rPr>
          <w:color w:val="000000" w:themeColor="text1"/>
          <w:lang w:eastAsia="en-US"/>
        </w:rPr>
        <w:t>.</w:t>
      </w:r>
    </w:p>
    <w:p w14:paraId="33F7BE5D" w14:textId="77777777" w:rsidR="0062450C" w:rsidRPr="0062450C" w:rsidRDefault="0062450C" w:rsidP="009A75AC">
      <w:pPr>
        <w:jc w:val="both"/>
        <w:rPr>
          <w:color w:val="000000" w:themeColor="text1"/>
          <w:lang w:eastAsia="en-US"/>
        </w:rPr>
      </w:pPr>
    </w:p>
    <w:p w14:paraId="7F70F00D" w14:textId="5215B1A5" w:rsidR="009A75AC" w:rsidRPr="0062450C" w:rsidRDefault="009A75AC" w:rsidP="009A75AC">
      <w:pPr>
        <w:jc w:val="both"/>
        <w:rPr>
          <w:color w:val="000000" w:themeColor="text1"/>
          <w:lang w:eastAsia="en-US"/>
        </w:rPr>
      </w:pPr>
      <w:r w:rsidRPr="0062450C">
        <w:rPr>
          <w:color w:val="000000" w:themeColor="text1"/>
          <w:lang w:eastAsia="en-US"/>
        </w:rPr>
        <w:t xml:space="preserve">Smyslem předběžné tržní konzultace </w:t>
      </w:r>
      <w:r w:rsidR="0062450C" w:rsidRPr="0062450C">
        <w:rPr>
          <w:color w:val="000000" w:themeColor="text1"/>
          <w:lang w:eastAsia="en-US"/>
        </w:rPr>
        <w:t xml:space="preserve">bylo </w:t>
      </w:r>
      <w:r w:rsidRPr="0062450C">
        <w:rPr>
          <w:color w:val="000000" w:themeColor="text1"/>
          <w:lang w:eastAsia="en-US"/>
        </w:rPr>
        <w:t>ověřit vymezení předmětu V</w:t>
      </w:r>
      <w:r w:rsidR="0062450C" w:rsidRPr="0062450C">
        <w:rPr>
          <w:color w:val="000000" w:themeColor="text1"/>
          <w:lang w:eastAsia="en-US"/>
        </w:rPr>
        <w:t>eřejné zakázky</w:t>
      </w:r>
      <w:r w:rsidRPr="0062450C">
        <w:rPr>
          <w:color w:val="000000" w:themeColor="text1"/>
          <w:lang w:eastAsia="en-US"/>
        </w:rPr>
        <w:t xml:space="preserve"> z pohledu hrozby omezení hospodářské soutěže. Tedy zda existuje dostatek subjektů na trhu, které jsou schopny dodat výše uvedené plnění v rámci jedné nadlimitní veřejné zakázky.</w:t>
      </w:r>
    </w:p>
    <w:p w14:paraId="26BD42FD" w14:textId="77777777" w:rsidR="009A75AC" w:rsidRPr="0062450C" w:rsidRDefault="009A75AC" w:rsidP="00BB6D9F">
      <w:pPr>
        <w:jc w:val="both"/>
        <w:rPr>
          <w:color w:val="000000" w:themeColor="text1"/>
          <w:lang w:eastAsia="en-US"/>
        </w:rPr>
      </w:pPr>
    </w:p>
    <w:p w14:paraId="0F815850" w14:textId="3F712D16" w:rsidR="00BB6D9F" w:rsidRPr="0062450C" w:rsidRDefault="002A6EDA" w:rsidP="00BB6D9F">
      <w:pPr>
        <w:jc w:val="both"/>
        <w:rPr>
          <w:color w:val="000000" w:themeColor="text1"/>
          <w:lang w:eastAsia="en-US"/>
        </w:rPr>
      </w:pPr>
      <w:r w:rsidRPr="0062450C">
        <w:rPr>
          <w:color w:val="000000" w:themeColor="text1"/>
          <w:lang w:eastAsia="en-US"/>
        </w:rPr>
        <w:t xml:space="preserve">Možnost účastnit se PTK byla otevřena všem potenciálním dodavatelům a zájemcům o veřejnou zakázku. </w:t>
      </w:r>
    </w:p>
    <w:p w14:paraId="11BC6C66" w14:textId="77777777" w:rsidR="002A6EDA" w:rsidRPr="0062450C" w:rsidRDefault="002A6EDA" w:rsidP="00BB6D9F">
      <w:pPr>
        <w:jc w:val="both"/>
        <w:rPr>
          <w:color w:val="000000" w:themeColor="text1"/>
          <w:lang w:eastAsia="en-US"/>
        </w:rPr>
      </w:pPr>
    </w:p>
    <w:p w14:paraId="4732FCDF" w14:textId="0BB000A0" w:rsidR="0062450C" w:rsidRPr="0062450C" w:rsidRDefault="0062450C" w:rsidP="00BB6D9F">
      <w:pPr>
        <w:jc w:val="both"/>
        <w:rPr>
          <w:b/>
          <w:bCs/>
          <w:color w:val="000000" w:themeColor="text1"/>
          <w:lang w:eastAsia="en-US"/>
        </w:rPr>
      </w:pPr>
      <w:r w:rsidRPr="0062450C">
        <w:rPr>
          <w:b/>
          <w:bCs/>
          <w:color w:val="000000" w:themeColor="text1"/>
          <w:lang w:eastAsia="en-US"/>
        </w:rPr>
        <w:t>Dotaz</w:t>
      </w:r>
      <w:r>
        <w:rPr>
          <w:b/>
          <w:bCs/>
          <w:color w:val="000000" w:themeColor="text1"/>
          <w:lang w:eastAsia="en-US"/>
        </w:rPr>
        <w:t>y</w:t>
      </w:r>
      <w:r w:rsidRPr="0062450C">
        <w:rPr>
          <w:b/>
          <w:bCs/>
          <w:color w:val="000000" w:themeColor="text1"/>
          <w:lang w:eastAsia="en-US"/>
        </w:rPr>
        <w:t xml:space="preserve"> zadavatele v rámci PTK zněl</w:t>
      </w:r>
      <w:r>
        <w:rPr>
          <w:b/>
          <w:bCs/>
          <w:color w:val="000000" w:themeColor="text1"/>
          <w:lang w:eastAsia="en-US"/>
        </w:rPr>
        <w:t>y</w:t>
      </w:r>
      <w:r w:rsidRPr="0062450C">
        <w:rPr>
          <w:b/>
          <w:bCs/>
          <w:color w:val="000000" w:themeColor="text1"/>
          <w:lang w:eastAsia="en-US"/>
        </w:rPr>
        <w:t xml:space="preserve"> následovně:</w:t>
      </w:r>
    </w:p>
    <w:p w14:paraId="3EEB405E" w14:textId="77777777" w:rsidR="0062450C" w:rsidRPr="0062450C" w:rsidRDefault="0062450C" w:rsidP="00BB6D9F">
      <w:pPr>
        <w:jc w:val="both"/>
        <w:rPr>
          <w:color w:val="000000" w:themeColor="text1"/>
          <w:lang w:eastAsia="en-US"/>
        </w:rPr>
      </w:pPr>
    </w:p>
    <w:p w14:paraId="3EAC38C4" w14:textId="77777777" w:rsidR="0062450C" w:rsidRPr="0062450C" w:rsidRDefault="0062450C" w:rsidP="0062450C">
      <w:pPr>
        <w:jc w:val="both"/>
        <w:rPr>
          <w:i/>
          <w:iCs/>
          <w:color w:val="000000" w:themeColor="text1"/>
          <w:lang w:eastAsia="en-US"/>
        </w:rPr>
      </w:pPr>
      <w:r w:rsidRPr="0062450C">
        <w:rPr>
          <w:i/>
          <w:iCs/>
          <w:color w:val="000000" w:themeColor="text1"/>
          <w:lang w:eastAsia="en-US"/>
        </w:rPr>
        <w:t>1)</w:t>
      </w:r>
      <w:r w:rsidRPr="0062450C">
        <w:rPr>
          <w:i/>
          <w:iCs/>
          <w:color w:val="000000" w:themeColor="text1"/>
          <w:lang w:eastAsia="en-US"/>
        </w:rPr>
        <w:tab/>
        <w:t>Zadavatel tímto žádá dodavatele o zodpovězení dotazu, zda je schopen (i s využitím případných poddodavatelů) dodat zadavateli uvažované plnění v rámci jedné veřejné zakázky?</w:t>
      </w:r>
    </w:p>
    <w:p w14:paraId="700A9EFA" w14:textId="77777777" w:rsidR="0062450C" w:rsidRPr="0062450C" w:rsidRDefault="0062450C" w:rsidP="0062450C">
      <w:pPr>
        <w:jc w:val="both"/>
        <w:rPr>
          <w:i/>
          <w:iCs/>
          <w:color w:val="000000" w:themeColor="text1"/>
          <w:lang w:eastAsia="en-US"/>
        </w:rPr>
      </w:pPr>
    </w:p>
    <w:p w14:paraId="6281CC9D" w14:textId="77777777" w:rsidR="0062450C" w:rsidRPr="0062450C" w:rsidRDefault="0062450C" w:rsidP="0062450C">
      <w:pPr>
        <w:jc w:val="both"/>
        <w:rPr>
          <w:i/>
          <w:iCs/>
          <w:color w:val="000000" w:themeColor="text1"/>
          <w:lang w:eastAsia="en-US"/>
        </w:rPr>
      </w:pPr>
      <w:r w:rsidRPr="0062450C">
        <w:rPr>
          <w:i/>
          <w:iCs/>
          <w:color w:val="000000" w:themeColor="text1"/>
          <w:lang w:eastAsia="en-US"/>
        </w:rPr>
        <w:t xml:space="preserve">Zadavatel žádá o zaslání odpovědi formou ANO/NE. V případě záporné odpovědi, prosíme, sdělte konkrétní důvody, které by Vám bránily k podání případné nabídky. </w:t>
      </w:r>
    </w:p>
    <w:p w14:paraId="28937D2D" w14:textId="77777777" w:rsidR="0062450C" w:rsidRPr="0062450C" w:rsidRDefault="0062450C" w:rsidP="0062450C">
      <w:pPr>
        <w:jc w:val="both"/>
        <w:rPr>
          <w:i/>
          <w:iCs/>
          <w:color w:val="000000" w:themeColor="text1"/>
          <w:lang w:eastAsia="en-US"/>
        </w:rPr>
      </w:pPr>
    </w:p>
    <w:p w14:paraId="17364686" w14:textId="46DEBF7B" w:rsidR="0062450C" w:rsidRPr="006E6A38" w:rsidRDefault="0062450C" w:rsidP="00BB6D9F">
      <w:pPr>
        <w:jc w:val="both"/>
        <w:rPr>
          <w:i/>
          <w:iCs/>
          <w:color w:val="000000" w:themeColor="text1"/>
          <w:lang w:eastAsia="en-US"/>
        </w:rPr>
      </w:pPr>
      <w:r w:rsidRPr="0062450C">
        <w:rPr>
          <w:i/>
          <w:iCs/>
          <w:color w:val="000000" w:themeColor="text1"/>
          <w:lang w:eastAsia="en-US"/>
        </w:rPr>
        <w:t>2)</w:t>
      </w:r>
      <w:r w:rsidRPr="0062450C">
        <w:rPr>
          <w:i/>
          <w:iCs/>
          <w:color w:val="000000" w:themeColor="text1"/>
          <w:lang w:eastAsia="en-US"/>
        </w:rPr>
        <w:tab/>
        <w:t>Zadavatel žádá dodavatele o zaslání dalších případných připomínek, které by (z pohledu dodavatele) Zadavatel měl zohlednit v rámci přípravy zadávacích podmínek dané Veřejné zakázky.</w:t>
      </w:r>
    </w:p>
    <w:p w14:paraId="5C51E789" w14:textId="77777777" w:rsidR="0062450C" w:rsidRDefault="0062450C" w:rsidP="00BB6D9F">
      <w:pPr>
        <w:jc w:val="both"/>
        <w:rPr>
          <w:lang w:eastAsia="en-US"/>
        </w:rPr>
      </w:pPr>
    </w:p>
    <w:p w14:paraId="11C8454A" w14:textId="7DFFADCF" w:rsidR="0062450C" w:rsidRDefault="0062450C" w:rsidP="00BB6D9F">
      <w:pPr>
        <w:jc w:val="both"/>
        <w:rPr>
          <w:lang w:eastAsia="en-US"/>
        </w:rPr>
      </w:pPr>
    </w:p>
    <w:p w14:paraId="471845E7" w14:textId="77777777" w:rsidR="00A07EA2" w:rsidRDefault="00A07EA2" w:rsidP="00BB6D9F">
      <w:pPr>
        <w:jc w:val="both"/>
        <w:rPr>
          <w:lang w:eastAsia="en-US"/>
        </w:rPr>
      </w:pPr>
    </w:p>
    <w:p w14:paraId="3D5AEFE9" w14:textId="77777777" w:rsidR="00A07EA2" w:rsidRDefault="00A07EA2" w:rsidP="00BB6D9F">
      <w:pPr>
        <w:jc w:val="both"/>
        <w:rPr>
          <w:lang w:eastAsia="en-US"/>
        </w:rPr>
      </w:pPr>
    </w:p>
    <w:p w14:paraId="2F50E56A" w14:textId="77777777" w:rsidR="00A07EA2" w:rsidRDefault="00A07EA2" w:rsidP="00BB6D9F">
      <w:pPr>
        <w:jc w:val="both"/>
        <w:rPr>
          <w:lang w:eastAsia="en-US"/>
        </w:rPr>
      </w:pPr>
    </w:p>
    <w:p w14:paraId="70F0990E" w14:textId="77777777" w:rsidR="00A07EA2" w:rsidRDefault="00A07EA2" w:rsidP="00BB6D9F">
      <w:pPr>
        <w:jc w:val="both"/>
        <w:rPr>
          <w:lang w:eastAsia="en-US"/>
        </w:rPr>
      </w:pPr>
    </w:p>
    <w:p w14:paraId="21F920B3" w14:textId="77777777" w:rsidR="00A07EA2" w:rsidRDefault="00A07EA2" w:rsidP="00BB6D9F">
      <w:pPr>
        <w:jc w:val="both"/>
        <w:rPr>
          <w:lang w:eastAsia="en-US"/>
        </w:rPr>
      </w:pPr>
    </w:p>
    <w:p w14:paraId="54B5D9B1" w14:textId="77777777" w:rsidR="00A07EA2" w:rsidRDefault="00A07EA2" w:rsidP="00BB6D9F">
      <w:pPr>
        <w:jc w:val="both"/>
        <w:rPr>
          <w:lang w:eastAsia="en-US"/>
        </w:rPr>
      </w:pPr>
    </w:p>
    <w:p w14:paraId="01A0E8A3" w14:textId="380551AE" w:rsidR="002A6EDA" w:rsidRPr="002A6EDA" w:rsidRDefault="002A6EDA" w:rsidP="002A6EDA">
      <w:pPr>
        <w:pStyle w:val="Nadpis1rovn"/>
      </w:pPr>
      <w:r>
        <w:lastRenderedPageBreak/>
        <w:t>VÝSLEDEK 1. kola PTK</w:t>
      </w:r>
    </w:p>
    <w:p w14:paraId="21DD4430" w14:textId="5FAA1A4A" w:rsidR="002A6EDA" w:rsidRDefault="002A6EDA" w:rsidP="002A6EDA">
      <w:pPr>
        <w:rPr>
          <w:rFonts w:asciiTheme="minorHAnsi" w:hAnsiTheme="minorHAnsi" w:cstheme="minorHAnsi"/>
          <w:b/>
          <w:bCs/>
          <w:caps/>
          <w:color w:val="000000" w:themeColor="text1"/>
          <w:szCs w:val="22"/>
          <w:lang w:eastAsia="en-US"/>
        </w:rPr>
      </w:pPr>
      <w:r w:rsidRPr="002A6EDA">
        <w:rPr>
          <w:rFonts w:ascii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Zadavatel obdržel </w:t>
      </w:r>
      <w:r w:rsidR="0062450C">
        <w:rPr>
          <w:rFonts w:asciiTheme="minorHAnsi" w:hAnsiTheme="minorHAnsi" w:cstheme="minorHAnsi"/>
          <w:b/>
          <w:bCs/>
          <w:color w:val="000000" w:themeColor="text1"/>
          <w:szCs w:val="22"/>
          <w:lang w:eastAsia="en-US"/>
        </w:rPr>
        <w:t xml:space="preserve">na výše uvedené dotazy </w:t>
      </w:r>
      <w:r w:rsidRPr="002A6EDA">
        <w:rPr>
          <w:rFonts w:asciiTheme="minorHAnsi" w:hAnsiTheme="minorHAnsi" w:cstheme="minorHAnsi"/>
          <w:b/>
          <w:bCs/>
          <w:color w:val="000000" w:themeColor="text1"/>
          <w:szCs w:val="22"/>
          <w:lang w:eastAsia="en-US"/>
        </w:rPr>
        <w:t>odpovědi oslovených dodavatelů, konkrétně</w:t>
      </w:r>
      <w:r w:rsidRPr="002A6EDA">
        <w:rPr>
          <w:rFonts w:asciiTheme="minorHAnsi" w:hAnsiTheme="minorHAnsi" w:cstheme="minorHAnsi"/>
          <w:b/>
          <w:bCs/>
          <w:caps/>
          <w:color w:val="000000" w:themeColor="text1"/>
          <w:szCs w:val="22"/>
          <w:lang w:eastAsia="en-US"/>
        </w:rPr>
        <w:t>:</w:t>
      </w:r>
    </w:p>
    <w:p w14:paraId="5E43E4D9" w14:textId="77777777" w:rsidR="002A6EDA" w:rsidRPr="002A6EDA" w:rsidRDefault="002A6EDA" w:rsidP="002A6EDA">
      <w:pPr>
        <w:rPr>
          <w:rFonts w:asciiTheme="minorHAnsi" w:hAnsiTheme="minorHAnsi" w:cstheme="minorHAnsi"/>
          <w:b/>
          <w:bCs/>
          <w:caps/>
          <w:color w:val="000000" w:themeColor="text1"/>
          <w:szCs w:val="22"/>
          <w:lang w:eastAsia="en-US"/>
        </w:rPr>
      </w:pPr>
    </w:p>
    <w:p w14:paraId="21D3ADC4" w14:textId="5F6D397C" w:rsidR="00AA553F" w:rsidRPr="002A6EDA" w:rsidRDefault="00AA553F" w:rsidP="00AA553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proofErr w:type="spellStart"/>
      <w:r w:rsidRPr="002A6EDA">
        <w:rPr>
          <w:color w:val="000000" w:themeColor="text1"/>
        </w:rPr>
        <w:t>Com-Sys</w:t>
      </w:r>
      <w:proofErr w:type="spellEnd"/>
      <w:r w:rsidRPr="002A6EDA">
        <w:rPr>
          <w:color w:val="000000" w:themeColor="text1"/>
        </w:rPr>
        <w:t xml:space="preserve"> TRADE spol. s r.o.</w:t>
      </w:r>
      <w:r>
        <w:rPr>
          <w:color w:val="000000" w:themeColor="text1"/>
        </w:rPr>
        <w:t xml:space="preserve">, se sídlem </w:t>
      </w:r>
      <w:r w:rsidRPr="00A46537">
        <w:rPr>
          <w:color w:val="000000" w:themeColor="text1"/>
        </w:rPr>
        <w:t>Jagellonská 2427/19, Vinohrady, 130 00 Praha 3</w:t>
      </w:r>
      <w:r>
        <w:rPr>
          <w:color w:val="000000" w:themeColor="text1"/>
        </w:rPr>
        <w:t xml:space="preserve">, </w:t>
      </w:r>
      <w:r w:rsidR="00A07EA2">
        <w:rPr>
          <w:color w:val="000000" w:themeColor="text1"/>
        </w:rPr>
        <w:br/>
      </w:r>
      <w:r>
        <w:rPr>
          <w:color w:val="000000" w:themeColor="text1"/>
        </w:rPr>
        <w:t xml:space="preserve">IČO: </w:t>
      </w:r>
      <w:r w:rsidRPr="00A46537">
        <w:rPr>
          <w:color w:val="000000" w:themeColor="text1"/>
        </w:rPr>
        <w:t>16188781</w:t>
      </w:r>
      <w:r>
        <w:rPr>
          <w:color w:val="000000" w:themeColor="text1"/>
        </w:rPr>
        <w:t>;</w:t>
      </w:r>
    </w:p>
    <w:p w14:paraId="50BDFA97" w14:textId="77777777" w:rsidR="00AA553F" w:rsidRPr="002A6EDA" w:rsidRDefault="00AA553F" w:rsidP="00AA553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>TOTAL SERVICE a.s.</w:t>
      </w:r>
      <w:r>
        <w:rPr>
          <w:color w:val="000000" w:themeColor="text1"/>
        </w:rPr>
        <w:t xml:space="preserve">, se sídlem </w:t>
      </w:r>
      <w:r w:rsidRPr="00A46537">
        <w:rPr>
          <w:color w:val="000000" w:themeColor="text1"/>
        </w:rPr>
        <w:t xml:space="preserve">U </w:t>
      </w:r>
      <w:proofErr w:type="spellStart"/>
      <w:r w:rsidRPr="00A46537">
        <w:rPr>
          <w:color w:val="000000" w:themeColor="text1"/>
        </w:rPr>
        <w:t>Uranie</w:t>
      </w:r>
      <w:proofErr w:type="spellEnd"/>
      <w:r w:rsidRPr="00A46537">
        <w:rPr>
          <w:color w:val="000000" w:themeColor="text1"/>
        </w:rPr>
        <w:t xml:space="preserve"> 954/18, Holešovice, 170 00 Praha 7</w:t>
      </w:r>
      <w:r>
        <w:rPr>
          <w:color w:val="000000" w:themeColor="text1"/>
        </w:rPr>
        <w:t xml:space="preserve">, IČO: </w:t>
      </w:r>
      <w:r w:rsidRPr="00A46537">
        <w:rPr>
          <w:color w:val="000000" w:themeColor="text1"/>
        </w:rPr>
        <w:t>25618067</w:t>
      </w:r>
      <w:r>
        <w:rPr>
          <w:color w:val="000000" w:themeColor="text1"/>
        </w:rPr>
        <w:t>;</w:t>
      </w:r>
    </w:p>
    <w:p w14:paraId="23434A26" w14:textId="77777777" w:rsidR="00AA553F" w:rsidRPr="002A6EDA" w:rsidRDefault="00AA553F" w:rsidP="00AA553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 xml:space="preserve">Corpus </w:t>
      </w:r>
      <w:proofErr w:type="spellStart"/>
      <w:r w:rsidRPr="002A6EDA">
        <w:rPr>
          <w:color w:val="000000" w:themeColor="text1"/>
        </w:rPr>
        <w:t>Solutions</w:t>
      </w:r>
      <w:proofErr w:type="spellEnd"/>
      <w:r w:rsidRPr="002A6EDA">
        <w:rPr>
          <w:color w:val="000000" w:themeColor="text1"/>
        </w:rPr>
        <w:t xml:space="preserve"> a.s.</w:t>
      </w:r>
      <w:r>
        <w:rPr>
          <w:color w:val="000000" w:themeColor="text1"/>
        </w:rPr>
        <w:t xml:space="preserve">, se sídlem </w:t>
      </w:r>
      <w:r w:rsidRPr="00A46537">
        <w:rPr>
          <w:color w:val="000000" w:themeColor="text1"/>
        </w:rPr>
        <w:t>Štětkova 1638/18, Nusle, 140 00 Praha 4</w:t>
      </w:r>
      <w:r>
        <w:rPr>
          <w:color w:val="000000" w:themeColor="text1"/>
        </w:rPr>
        <w:t xml:space="preserve">, IČO: </w:t>
      </w:r>
      <w:r w:rsidRPr="00A46537">
        <w:rPr>
          <w:color w:val="000000" w:themeColor="text1"/>
        </w:rPr>
        <w:t>25764616</w:t>
      </w:r>
    </w:p>
    <w:p w14:paraId="67805EBB" w14:textId="7C43303F" w:rsidR="00AA553F" w:rsidRPr="002A6EDA" w:rsidRDefault="00AA553F" w:rsidP="00AA553F">
      <w:pPr>
        <w:pStyle w:val="Odstavecseseznamem"/>
        <w:numPr>
          <w:ilvl w:val="0"/>
          <w:numId w:val="8"/>
        </w:numPr>
        <w:jc w:val="both"/>
        <w:rPr>
          <w:color w:val="000000" w:themeColor="text1"/>
        </w:rPr>
      </w:pPr>
      <w:r w:rsidRPr="002A6EDA">
        <w:rPr>
          <w:color w:val="000000" w:themeColor="text1"/>
        </w:rPr>
        <w:t xml:space="preserve">Open </w:t>
      </w:r>
      <w:proofErr w:type="spellStart"/>
      <w:r w:rsidRPr="002A6EDA">
        <w:rPr>
          <w:color w:val="000000" w:themeColor="text1"/>
        </w:rPr>
        <w:t>Apps</w:t>
      </w:r>
      <w:proofErr w:type="spellEnd"/>
      <w:r w:rsidRPr="002A6EDA">
        <w:rPr>
          <w:color w:val="000000" w:themeColor="text1"/>
        </w:rPr>
        <w:t xml:space="preserve"> Development, a.s.</w:t>
      </w:r>
      <w:r>
        <w:rPr>
          <w:color w:val="000000" w:themeColor="text1"/>
        </w:rPr>
        <w:t xml:space="preserve">, se sídlem </w:t>
      </w:r>
      <w:r w:rsidRPr="00A46537">
        <w:rPr>
          <w:color w:val="000000" w:themeColor="text1"/>
        </w:rPr>
        <w:t>Kurta Konráda 2517/1, Libeň, 190 00 Praha 9</w:t>
      </w:r>
      <w:r>
        <w:rPr>
          <w:color w:val="000000" w:themeColor="text1"/>
        </w:rPr>
        <w:t xml:space="preserve">, </w:t>
      </w:r>
      <w:r w:rsidR="00A07EA2">
        <w:rPr>
          <w:color w:val="000000" w:themeColor="text1"/>
        </w:rPr>
        <w:br/>
      </w:r>
      <w:r>
        <w:rPr>
          <w:color w:val="000000" w:themeColor="text1"/>
        </w:rPr>
        <w:t xml:space="preserve">IČO: </w:t>
      </w:r>
      <w:r w:rsidRPr="00A46537">
        <w:rPr>
          <w:color w:val="000000" w:themeColor="text1"/>
        </w:rPr>
        <w:t>11649275</w:t>
      </w:r>
      <w:r>
        <w:rPr>
          <w:color w:val="000000" w:themeColor="text1"/>
        </w:rPr>
        <w:t>;</w:t>
      </w:r>
    </w:p>
    <w:p w14:paraId="6B813614" w14:textId="77777777" w:rsidR="00DB4C8E" w:rsidRPr="00305587" w:rsidRDefault="00DB4C8E" w:rsidP="00305587">
      <w:pPr>
        <w:snapToGrid w:val="0"/>
        <w:spacing w:after="120"/>
        <w:jc w:val="both"/>
        <w:rPr>
          <w:b/>
          <w:bCs/>
          <w:color w:val="000000" w:themeColor="text1"/>
          <w:lang w:eastAsia="en-US"/>
        </w:rPr>
      </w:pPr>
      <w:r w:rsidRPr="00305587">
        <w:rPr>
          <w:b/>
          <w:bCs/>
          <w:color w:val="000000" w:themeColor="text1"/>
          <w:lang w:eastAsia="en-US"/>
        </w:rPr>
        <w:t>Všichni uvedení dodavatelů uvedli, že jsou schopni plnění specifikované v rámci PTK dodat a nemají dalších otázek.</w:t>
      </w:r>
    </w:p>
    <w:p w14:paraId="4D3EBC5E" w14:textId="71857927" w:rsidR="002A6EDA" w:rsidRDefault="00DB4C8E" w:rsidP="00305587">
      <w:pPr>
        <w:snapToGrid w:val="0"/>
        <w:spacing w:after="120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Zadavatel neobdržel na základě výzvy uveřejněné na webových stránkách Zadavatele žádné další odpovědi jiných dodavatelů.</w:t>
      </w:r>
    </w:p>
    <w:p w14:paraId="435755EB" w14:textId="660B6E9F" w:rsidR="00DB4C8E" w:rsidRPr="00AA553F" w:rsidRDefault="00DB4C8E" w:rsidP="00AA553F">
      <w:pPr>
        <w:snapToGrid w:val="0"/>
        <w:spacing w:after="120"/>
        <w:jc w:val="both"/>
        <w:rPr>
          <w:b/>
          <w:bCs/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Na základě výsledku 1. kola PTK se </w:t>
      </w:r>
      <w:r w:rsidR="00305587">
        <w:rPr>
          <w:color w:val="000000" w:themeColor="text1"/>
          <w:lang w:eastAsia="en-US"/>
        </w:rPr>
        <w:t>z</w:t>
      </w:r>
      <w:r>
        <w:rPr>
          <w:color w:val="000000" w:themeColor="text1"/>
          <w:lang w:eastAsia="en-US"/>
        </w:rPr>
        <w:t>adavatel rozhodl nekonat 2. kolo PTK.</w:t>
      </w:r>
      <w:r w:rsidR="004B7BDB">
        <w:rPr>
          <w:color w:val="000000" w:themeColor="text1"/>
          <w:lang w:eastAsia="en-US"/>
        </w:rPr>
        <w:t xml:space="preserve"> </w:t>
      </w:r>
      <w:r w:rsidR="004B7BDB" w:rsidRPr="00305587">
        <w:rPr>
          <w:b/>
          <w:bCs/>
          <w:color w:val="000000" w:themeColor="text1"/>
          <w:lang w:eastAsia="en-US"/>
        </w:rPr>
        <w:t>Zadavatel vzhledem k odpovědím dodavatelů nepřistoupil k doplnění či úpravě zadávacích podmínek.</w:t>
      </w:r>
      <w:r w:rsidR="00305587">
        <w:rPr>
          <w:b/>
          <w:bCs/>
          <w:color w:val="000000" w:themeColor="text1"/>
          <w:lang w:eastAsia="en-US"/>
        </w:rPr>
        <w:t xml:space="preserve"> </w:t>
      </w:r>
      <w:r w:rsidR="00305587" w:rsidRPr="00305587">
        <w:rPr>
          <w:color w:val="000000" w:themeColor="text1"/>
          <w:lang w:eastAsia="en-US"/>
        </w:rPr>
        <w:t>PTK potvrdil</w:t>
      </w:r>
      <w:r w:rsidR="00305587">
        <w:rPr>
          <w:color w:val="000000" w:themeColor="text1"/>
          <w:lang w:eastAsia="en-US"/>
        </w:rPr>
        <w:t>y</w:t>
      </w:r>
      <w:r w:rsidR="00305587" w:rsidRPr="00305587">
        <w:rPr>
          <w:color w:val="000000" w:themeColor="text1"/>
          <w:lang w:eastAsia="en-US"/>
        </w:rPr>
        <w:t>, že</w:t>
      </w:r>
      <w:r w:rsidR="00305587">
        <w:rPr>
          <w:color w:val="000000" w:themeColor="text1"/>
          <w:lang w:eastAsia="en-US"/>
        </w:rPr>
        <w:t> </w:t>
      </w:r>
      <w:r w:rsidR="00305587" w:rsidRPr="00305587">
        <w:rPr>
          <w:color w:val="000000" w:themeColor="text1"/>
          <w:lang w:eastAsia="en-US"/>
        </w:rPr>
        <w:t xml:space="preserve">dodavatelé jsou schopni dodat požadovaný HW a SW, a proto zadavatel nepřistoupil k rozdělení předmětu veřejné zakázky. Důvody nerozdělení jsou dále popsány v zadávací dokumentaci. </w:t>
      </w:r>
    </w:p>
    <w:sectPr w:rsidR="00DB4C8E" w:rsidRPr="00AA553F" w:rsidSect="008272D8">
      <w:head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31CF" w14:textId="77777777" w:rsidR="009F6AB1" w:rsidRDefault="009F6AB1" w:rsidP="009F0C2E">
      <w:r>
        <w:separator/>
      </w:r>
    </w:p>
  </w:endnote>
  <w:endnote w:type="continuationSeparator" w:id="0">
    <w:p w14:paraId="4FB94FC7" w14:textId="77777777" w:rsidR="009F6AB1" w:rsidRDefault="009F6AB1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B2AF" w14:textId="77777777" w:rsidR="009F6AB1" w:rsidRDefault="009F6AB1" w:rsidP="009F0C2E">
      <w:r>
        <w:separator/>
      </w:r>
    </w:p>
  </w:footnote>
  <w:footnote w:type="continuationSeparator" w:id="0">
    <w:p w14:paraId="1BFAE829" w14:textId="77777777" w:rsidR="009F6AB1" w:rsidRDefault="009F6AB1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8D89" w14:textId="506167F5" w:rsidR="001D6DF6" w:rsidRDefault="006600F3">
    <w:pPr>
      <w:pStyle w:val="Zhlav"/>
    </w:pPr>
    <w:r w:rsidRPr="00275A8B">
      <w:rPr>
        <w:noProof/>
      </w:rPr>
      <w:drawing>
        <wp:inline distT="0" distB="0" distL="0" distR="0" wp14:anchorId="43DDF6E6" wp14:editId="3555A7AD">
          <wp:extent cx="5756910" cy="693420"/>
          <wp:effectExtent l="0" t="0" r="0" b="5080"/>
          <wp:docPr id="1492894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49477140"/>
    <w:multiLevelType w:val="hybridMultilevel"/>
    <w:tmpl w:val="8FEA8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7EA1"/>
    <w:multiLevelType w:val="hybridMultilevel"/>
    <w:tmpl w:val="94EA5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AC423FE"/>
    <w:multiLevelType w:val="hybridMultilevel"/>
    <w:tmpl w:val="45D08D24"/>
    <w:lvl w:ilvl="0" w:tplc="A820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A4C28"/>
    <w:multiLevelType w:val="hybridMultilevel"/>
    <w:tmpl w:val="DBD0462C"/>
    <w:lvl w:ilvl="0" w:tplc="20B4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76B94"/>
    <w:multiLevelType w:val="hybridMultilevel"/>
    <w:tmpl w:val="D40C913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8460542">
    <w:abstractNumId w:val="5"/>
  </w:num>
  <w:num w:numId="2" w16cid:durableId="1900509683">
    <w:abstractNumId w:val="0"/>
  </w:num>
  <w:num w:numId="3" w16cid:durableId="73801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910068">
    <w:abstractNumId w:val="3"/>
  </w:num>
  <w:num w:numId="5" w16cid:durableId="2058315925">
    <w:abstractNumId w:val="4"/>
  </w:num>
  <w:num w:numId="6" w16cid:durableId="1123109310">
    <w:abstractNumId w:val="6"/>
  </w:num>
  <w:num w:numId="7" w16cid:durableId="185487300">
    <w:abstractNumId w:val="7"/>
  </w:num>
  <w:num w:numId="8" w16cid:durableId="964193479">
    <w:abstractNumId w:val="2"/>
  </w:num>
  <w:num w:numId="9" w16cid:durableId="173123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3171"/>
    <w:rsid w:val="00042C09"/>
    <w:rsid w:val="000466E0"/>
    <w:rsid w:val="00056FCB"/>
    <w:rsid w:val="000805F3"/>
    <w:rsid w:val="000C4F84"/>
    <w:rsid w:val="000F4CEF"/>
    <w:rsid w:val="00130403"/>
    <w:rsid w:val="00132866"/>
    <w:rsid w:val="0014358C"/>
    <w:rsid w:val="001D6DF6"/>
    <w:rsid w:val="001E72BF"/>
    <w:rsid w:val="001F09BA"/>
    <w:rsid w:val="00252CA0"/>
    <w:rsid w:val="00273155"/>
    <w:rsid w:val="00292F95"/>
    <w:rsid w:val="002A657F"/>
    <w:rsid w:val="002A6EDA"/>
    <w:rsid w:val="002E204B"/>
    <w:rsid w:val="002F1B16"/>
    <w:rsid w:val="00305587"/>
    <w:rsid w:val="003152A9"/>
    <w:rsid w:val="00332A4F"/>
    <w:rsid w:val="0039136C"/>
    <w:rsid w:val="003B75E7"/>
    <w:rsid w:val="003D4861"/>
    <w:rsid w:val="003F1FA9"/>
    <w:rsid w:val="003F2632"/>
    <w:rsid w:val="0041774E"/>
    <w:rsid w:val="00425F2B"/>
    <w:rsid w:val="00495DAA"/>
    <w:rsid w:val="004B7BDB"/>
    <w:rsid w:val="00516450"/>
    <w:rsid w:val="0055172C"/>
    <w:rsid w:val="005757DD"/>
    <w:rsid w:val="005A3004"/>
    <w:rsid w:val="005A78B2"/>
    <w:rsid w:val="005B61D8"/>
    <w:rsid w:val="005D5E37"/>
    <w:rsid w:val="005E3DE7"/>
    <w:rsid w:val="005F6C6B"/>
    <w:rsid w:val="00621E10"/>
    <w:rsid w:val="0062296E"/>
    <w:rsid w:val="0062450C"/>
    <w:rsid w:val="00634273"/>
    <w:rsid w:val="006600F3"/>
    <w:rsid w:val="00682E15"/>
    <w:rsid w:val="006D70D8"/>
    <w:rsid w:val="006E3051"/>
    <w:rsid w:val="006E6A38"/>
    <w:rsid w:val="0071504E"/>
    <w:rsid w:val="00722E72"/>
    <w:rsid w:val="00733AAE"/>
    <w:rsid w:val="00760A7E"/>
    <w:rsid w:val="00762839"/>
    <w:rsid w:val="00787217"/>
    <w:rsid w:val="007D6988"/>
    <w:rsid w:val="007E50E3"/>
    <w:rsid w:val="007F0953"/>
    <w:rsid w:val="007F247F"/>
    <w:rsid w:val="007F2DD1"/>
    <w:rsid w:val="00801EEC"/>
    <w:rsid w:val="0080360E"/>
    <w:rsid w:val="00807DD5"/>
    <w:rsid w:val="00825AF8"/>
    <w:rsid w:val="008272D8"/>
    <w:rsid w:val="008938E6"/>
    <w:rsid w:val="00895D75"/>
    <w:rsid w:val="008A6277"/>
    <w:rsid w:val="008B1D98"/>
    <w:rsid w:val="008E6398"/>
    <w:rsid w:val="00907598"/>
    <w:rsid w:val="00913913"/>
    <w:rsid w:val="00922D7C"/>
    <w:rsid w:val="00960358"/>
    <w:rsid w:val="009878A1"/>
    <w:rsid w:val="009A75AC"/>
    <w:rsid w:val="009B2FEB"/>
    <w:rsid w:val="009C2A67"/>
    <w:rsid w:val="009F0C2E"/>
    <w:rsid w:val="009F6AB1"/>
    <w:rsid w:val="009F6C17"/>
    <w:rsid w:val="00A07EA2"/>
    <w:rsid w:val="00A35A7A"/>
    <w:rsid w:val="00A46537"/>
    <w:rsid w:val="00A63542"/>
    <w:rsid w:val="00A63ADF"/>
    <w:rsid w:val="00AA553F"/>
    <w:rsid w:val="00AF261E"/>
    <w:rsid w:val="00B04031"/>
    <w:rsid w:val="00B143BC"/>
    <w:rsid w:val="00B30B6C"/>
    <w:rsid w:val="00B46165"/>
    <w:rsid w:val="00B61C2C"/>
    <w:rsid w:val="00B95F51"/>
    <w:rsid w:val="00BA6D76"/>
    <w:rsid w:val="00BB6D9F"/>
    <w:rsid w:val="00BD1A3A"/>
    <w:rsid w:val="00BE5665"/>
    <w:rsid w:val="00BF1032"/>
    <w:rsid w:val="00C10E7A"/>
    <w:rsid w:val="00C17070"/>
    <w:rsid w:val="00C77B56"/>
    <w:rsid w:val="00CB11C4"/>
    <w:rsid w:val="00D11FE1"/>
    <w:rsid w:val="00D14B03"/>
    <w:rsid w:val="00D172B2"/>
    <w:rsid w:val="00D315EA"/>
    <w:rsid w:val="00D669D5"/>
    <w:rsid w:val="00DB4C8E"/>
    <w:rsid w:val="00DE0661"/>
    <w:rsid w:val="00DF48B2"/>
    <w:rsid w:val="00DF7533"/>
    <w:rsid w:val="00E8235E"/>
    <w:rsid w:val="00E866EA"/>
    <w:rsid w:val="00EF3944"/>
    <w:rsid w:val="00EF5D39"/>
    <w:rsid w:val="00F123AB"/>
    <w:rsid w:val="00F128A5"/>
    <w:rsid w:val="00F171F6"/>
    <w:rsid w:val="00F73AB1"/>
    <w:rsid w:val="00F91602"/>
    <w:rsid w:val="00FB60E0"/>
    <w:rsid w:val="00FD7028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C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99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99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99"/>
    <w:rsid w:val="009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9C2A67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customStyle="1" w:styleId="NormalJustified">
    <w:name w:val="Normal (Justified)"/>
    <w:basedOn w:val="Normln"/>
    <w:rsid w:val="00425F2B"/>
    <w:pPr>
      <w:widowControl w:val="0"/>
      <w:jc w:val="both"/>
    </w:pPr>
    <w:rPr>
      <w:rFonts w:cs="Times New Roman"/>
      <w:color w:val="auto"/>
      <w:kern w:val="28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F2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F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5F2B"/>
    <w:rPr>
      <w:vertAlign w:val="superscript"/>
    </w:rPr>
  </w:style>
  <w:style w:type="paragraph" w:customStyle="1" w:styleId="RLProhlensmluvnchstran">
    <w:name w:val="RL Prohlášení smluvních stran"/>
    <w:basedOn w:val="Normln"/>
    <w:link w:val="RLProhlensmluvnchstranChar"/>
    <w:rsid w:val="00B46165"/>
    <w:pPr>
      <w:spacing w:after="120" w:line="280" w:lineRule="exact"/>
      <w:jc w:val="center"/>
    </w:pPr>
    <w:rPr>
      <w:rFonts w:cs="Times New Roman"/>
      <w:b/>
      <w:color w:val="auto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B46165"/>
    <w:rPr>
      <w:rFonts w:ascii="Calibri" w:eastAsia="Times New Roman" w:hAnsi="Calibri" w:cs="Times New Roman"/>
      <w:b/>
      <w:szCs w:val="24"/>
      <w:lang w:val="x-none" w:eastAsia="x-none"/>
    </w:rPr>
  </w:style>
  <w:style w:type="paragraph" w:customStyle="1" w:styleId="RLdajeosmluvnstran">
    <w:name w:val="RL  údaje o smluvní straně"/>
    <w:basedOn w:val="Normln"/>
    <w:rsid w:val="00B46165"/>
    <w:pPr>
      <w:spacing w:after="120" w:line="280" w:lineRule="exact"/>
      <w:jc w:val="center"/>
    </w:pPr>
    <w:rPr>
      <w:rFonts w:cs="Times New Roman"/>
      <w:color w:val="auto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AF8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2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04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04B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04B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34273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5297F5-FDD4-154F-A505-EB3335C0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2024-09-18T09:36:00Z</dcterms:created>
  <dcterms:modified xsi:type="dcterms:W3CDTF">2024-09-18T09:36:00Z</dcterms:modified>
</cp:coreProperties>
</file>